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关于拟有偿收回五指山</w:t>
      </w:r>
      <w:r>
        <w:rPr>
          <w:rFonts w:hint="eastAsia" w:ascii="方正小标宋简体" w:hAnsi="方正小标宋简体" w:eastAsia="方正小标宋简体" w:cs="方正小标宋简体"/>
          <w:sz w:val="44"/>
          <w:szCs w:val="44"/>
          <w:highlight w:val="none"/>
        </w:rPr>
        <w:t>丹春</w:t>
      </w:r>
      <w:r>
        <w:rPr>
          <w:rFonts w:hint="eastAsia" w:ascii="方正小标宋简体" w:hAnsi="方正小标宋简体" w:eastAsia="方正小标宋简体" w:cs="方正小标宋简体"/>
          <w:sz w:val="44"/>
          <w:szCs w:val="44"/>
        </w:rPr>
        <w:t>实业有限公司部分国有土地使用权作为河北西路在水一方</w:t>
      </w:r>
      <w:r>
        <w:rPr>
          <w:rFonts w:hint="eastAsia" w:ascii="方正小标宋简体" w:hAnsi="方正小标宋简体" w:eastAsia="方正小标宋简体" w:cs="方正小标宋简体"/>
          <w:sz w:val="44"/>
          <w:szCs w:val="44"/>
          <w:highlight w:val="none"/>
        </w:rPr>
        <w:t>至</w:t>
      </w:r>
      <w:r>
        <w:rPr>
          <w:rFonts w:hint="eastAsia" w:ascii="方正小标宋简体" w:hAnsi="方正小标宋简体" w:eastAsia="方正小标宋简体" w:cs="方正小标宋简体"/>
          <w:sz w:val="44"/>
          <w:szCs w:val="44"/>
        </w:rPr>
        <w:t>环市西路段市政基础设施建设项目用地的预公告</w:t>
      </w:r>
    </w:p>
    <w:p>
      <w:pPr>
        <w:adjustRightInd w:val="0"/>
        <w:snapToGrid w:val="0"/>
        <w:spacing w:line="560" w:lineRule="exact"/>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bookmarkStart w:id="0" w:name="_GoBack"/>
      <w:r>
        <w:rPr>
          <w:rFonts w:hint="eastAsia" w:ascii="仿宋_GB2312" w:hAnsi="仿宋_GB2312" w:eastAsia="仿宋_GB2312" w:cs="仿宋_GB2312"/>
          <w:sz w:val="32"/>
          <w:szCs w:val="32"/>
        </w:rPr>
        <w:t>五指山</w:t>
      </w:r>
      <w:r>
        <w:rPr>
          <w:rFonts w:hint="eastAsia" w:ascii="仿宋_GB2312" w:hAnsi="仿宋_GB2312" w:eastAsia="仿宋_GB2312" w:cs="仿宋_GB2312"/>
          <w:sz w:val="32"/>
          <w:szCs w:val="32"/>
          <w:highlight w:val="none"/>
        </w:rPr>
        <w:t>丹春</w:t>
      </w:r>
      <w:r>
        <w:rPr>
          <w:rFonts w:hint="eastAsia" w:ascii="仿宋_GB2312" w:hAnsi="仿宋_GB2312" w:eastAsia="仿宋_GB2312" w:cs="仿宋_GB2312"/>
          <w:sz w:val="32"/>
          <w:szCs w:val="32"/>
        </w:rPr>
        <w:t>实业有限公司</w:t>
      </w:r>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为加快推进河北西路在水一方</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rPr>
        <w:t>环市西路段市政基础设施建设项目建设</w:t>
      </w:r>
      <w:r>
        <w:rPr>
          <w:rFonts w:hint="eastAsia" w:ascii="仿宋_GB2312" w:hAnsi="仿宋_GB2312" w:eastAsia="仿宋_GB2312" w:cs="仿宋_GB2312"/>
          <w:sz w:val="32"/>
          <w:szCs w:val="22"/>
        </w:rPr>
        <w:t>，</w:t>
      </w:r>
      <w:r>
        <w:rPr>
          <w:rFonts w:hint="eastAsia" w:ascii="仿宋_GB2312" w:hAnsi="仿宋_GB2312" w:eastAsia="仿宋_GB2312" w:cs="仿宋_GB2312"/>
          <w:sz w:val="32"/>
        </w:rPr>
        <w:t>我市拟收回你</w:t>
      </w:r>
      <w:r>
        <w:rPr>
          <w:rFonts w:hint="eastAsia" w:ascii="仿宋_GB2312" w:hAnsi="仿宋_GB2312" w:eastAsia="仿宋_GB2312" w:cs="仿宋_GB2312"/>
          <w:sz w:val="32"/>
          <w:highlight w:val="none"/>
        </w:rPr>
        <w:t>司</w:t>
      </w:r>
      <w:r>
        <w:rPr>
          <w:rFonts w:hint="eastAsia" w:ascii="仿宋_GB2312" w:hAnsi="仿宋_GB2312" w:eastAsia="仿宋_GB2312" w:cs="仿宋_GB2312"/>
          <w:sz w:val="32"/>
        </w:rPr>
        <w:t>部分国有土地使用权作为</w:t>
      </w:r>
      <w:r>
        <w:rPr>
          <w:rFonts w:hint="eastAsia" w:ascii="仿宋_GB2312" w:hAnsi="仿宋_GB2312" w:eastAsia="仿宋_GB2312" w:cs="仿宋_GB2312"/>
          <w:sz w:val="32"/>
          <w:szCs w:val="32"/>
        </w:rPr>
        <w:t>河北西路在水一方</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rPr>
        <w:t>环市西路段市政基础设施建设项目</w:t>
      </w:r>
      <w:r>
        <w:rPr>
          <w:rFonts w:hint="eastAsia" w:ascii="仿宋_GB2312" w:hAnsi="仿宋_GB2312" w:eastAsia="仿宋_GB2312" w:cs="仿宋_GB2312"/>
          <w:sz w:val="32"/>
          <w:szCs w:val="22"/>
        </w:rPr>
        <w:t>用地</w:t>
      </w:r>
      <w:r>
        <w:rPr>
          <w:rFonts w:hint="eastAsia" w:ascii="仿宋_GB2312" w:hAnsi="仿宋_GB2312" w:eastAsia="仿宋_GB2312" w:cs="仿宋_GB2312"/>
          <w:sz w:val="32"/>
        </w:rPr>
        <w:t>。该项目用地拟收回你</w:t>
      </w:r>
      <w:r>
        <w:rPr>
          <w:rFonts w:hint="eastAsia" w:ascii="仿宋_GB2312" w:hAnsi="仿宋_GB2312" w:eastAsia="仿宋_GB2312" w:cs="仿宋_GB2312"/>
          <w:sz w:val="32"/>
          <w:highlight w:val="none"/>
        </w:rPr>
        <w:t>司</w:t>
      </w:r>
      <w:r>
        <w:rPr>
          <w:rFonts w:hint="eastAsia" w:ascii="仿宋_GB2312" w:hAnsi="仿宋_GB2312" w:eastAsia="仿宋_GB2312" w:cs="仿宋_GB2312"/>
          <w:sz w:val="32"/>
        </w:rPr>
        <w:t>部分国有土地使用权0.0272公顷，其中农用地为0.0003公顷、建设用地0.0269公顷。</w:t>
      </w:r>
      <w:r>
        <w:rPr>
          <w:rFonts w:ascii="Times New Roman" w:hAnsi="Times New Roman" w:eastAsia="仿宋_GB2312"/>
          <w:sz w:val="32"/>
        </w:rPr>
        <w:t>根据《中华人民共和国土地管理法》《中华人民共和国土地管理法实施条例》相关规定</w:t>
      </w:r>
      <w:r>
        <w:rPr>
          <w:rFonts w:hint="eastAsia" w:ascii="Times New Roman" w:hAnsi="Times New Roman" w:eastAsia="仿宋_GB2312"/>
          <w:sz w:val="32"/>
          <w:lang w:eastAsia="zh-CN"/>
        </w:rPr>
        <w:t>，</w:t>
      </w:r>
      <w:r>
        <w:rPr>
          <w:rFonts w:ascii="Times New Roman" w:hAnsi="Times New Roman" w:eastAsia="仿宋_GB2312"/>
          <w:sz w:val="32"/>
        </w:rPr>
        <w:t>现将有关情况告知如下</w:t>
      </w:r>
      <w:r>
        <w:rPr>
          <w:rFonts w:hint="eastAsia" w:ascii="仿宋_GB2312" w:hAnsi="仿宋_GB2312" w:eastAsia="仿宋_GB2312" w:cs="仿宋_GB2312"/>
          <w:sz w:val="32"/>
        </w:rPr>
        <w:t>：</w:t>
      </w:r>
    </w:p>
    <w:p>
      <w:pPr>
        <w:widowControl/>
        <w:adjustRightInd w:val="0"/>
        <w:snapToGrid w:val="0"/>
        <w:spacing w:line="560" w:lineRule="exact"/>
        <w:ind w:firstLine="640" w:firstLineChars="200"/>
        <w:rPr>
          <w:rFonts w:hint="eastAsia" w:ascii="黑体" w:hAnsi="黑体" w:eastAsia="黑体" w:cs="黑体"/>
          <w:sz w:val="32"/>
        </w:rPr>
      </w:pPr>
      <w:r>
        <w:rPr>
          <w:rFonts w:hint="eastAsia" w:ascii="黑体" w:hAnsi="黑体" w:eastAsia="黑体" w:cs="黑体"/>
          <w:sz w:val="32"/>
        </w:rPr>
        <w:t>一、建设用地名称</w:t>
      </w:r>
    </w:p>
    <w:p>
      <w:pPr>
        <w:widowControl/>
        <w:adjustRightInd w:val="0"/>
        <w:snapToGrid w:val="0"/>
        <w:spacing w:line="560" w:lineRule="exact"/>
        <w:ind w:firstLine="640" w:firstLineChars="200"/>
        <w:rPr>
          <w:rFonts w:ascii="Times New Roman" w:hAnsi="Times New Roman" w:eastAsia="仿宋_GB2312"/>
          <w:sz w:val="32"/>
        </w:rPr>
      </w:pPr>
      <w:r>
        <w:rPr>
          <w:rFonts w:hint="eastAsia" w:ascii="仿宋_GB2312" w:hAnsi="仿宋_GB2312" w:eastAsia="仿宋_GB2312" w:cs="仿宋_GB2312"/>
          <w:sz w:val="32"/>
          <w:szCs w:val="32"/>
        </w:rPr>
        <w:t>河北西路在水一方</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rPr>
        <w:t>环市西路段市政基础设施建设项目。</w:t>
      </w:r>
    </w:p>
    <w:p>
      <w:pPr>
        <w:widowControl/>
        <w:adjustRightInd w:val="0"/>
        <w:snapToGrid w:val="0"/>
        <w:spacing w:line="560" w:lineRule="exact"/>
        <w:ind w:firstLine="640" w:firstLineChars="200"/>
        <w:rPr>
          <w:rFonts w:hint="eastAsia" w:ascii="黑体" w:hAnsi="黑体" w:eastAsia="黑体" w:cs="黑体"/>
          <w:sz w:val="32"/>
        </w:rPr>
      </w:pPr>
      <w:r>
        <w:rPr>
          <w:rFonts w:hint="eastAsia" w:ascii="黑体" w:hAnsi="黑体" w:eastAsia="黑体" w:cs="黑体"/>
          <w:sz w:val="32"/>
        </w:rPr>
        <w:t>二、收回土地位置</w:t>
      </w:r>
    </w:p>
    <w:p>
      <w:pPr>
        <w:widowControl/>
        <w:adjustRightInd w:val="0"/>
        <w:snapToGrid w:val="0"/>
        <w:spacing w:line="560" w:lineRule="exact"/>
        <w:ind w:firstLine="640" w:firstLineChars="200"/>
        <w:rPr>
          <w:rFonts w:hint="eastAsia" w:ascii="Times New Roman" w:hAnsi="Times New Roman" w:eastAsia="仿宋_GB2312"/>
          <w:sz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通什镇环市西路</w:t>
      </w:r>
      <w:r>
        <w:rPr>
          <w:rFonts w:hint="eastAsia" w:ascii="Times New Roman" w:hAnsi="Times New Roman" w:eastAsia="仿宋_GB2312"/>
          <w:sz w:val="32"/>
        </w:rPr>
        <w:t>。</w:t>
      </w:r>
    </w:p>
    <w:p>
      <w:pPr>
        <w:widowControl/>
        <w:adjustRightInd w:val="0"/>
        <w:snapToGrid w:val="0"/>
        <w:spacing w:line="560" w:lineRule="exact"/>
        <w:ind w:firstLine="640" w:firstLineChars="200"/>
        <w:rPr>
          <w:rFonts w:ascii="黑体" w:hAnsi="黑体" w:eastAsia="黑体" w:cs="黑体"/>
          <w:sz w:val="32"/>
        </w:rPr>
      </w:pPr>
      <w:r>
        <w:rPr>
          <w:rFonts w:hint="eastAsia" w:ascii="黑体" w:hAnsi="黑体" w:eastAsia="黑体" w:cs="黑体"/>
          <w:sz w:val="32"/>
        </w:rPr>
        <w:t>三、</w:t>
      </w:r>
      <w:r>
        <w:rPr>
          <w:rFonts w:hint="eastAsia" w:ascii="黑体" w:hAnsi="黑体" w:eastAsia="黑体" w:cs="黑体"/>
          <w:sz w:val="32"/>
          <w:szCs w:val="32"/>
        </w:rPr>
        <w:t>收回土地补偿费标准</w:t>
      </w:r>
    </w:p>
    <w:p>
      <w:pPr>
        <w:widowControl/>
        <w:adjustRightInd w:val="0"/>
        <w:snapToGrid w:val="0"/>
        <w:spacing w:line="560" w:lineRule="exact"/>
        <w:ind w:firstLine="640" w:firstLineChars="200"/>
        <w:rPr>
          <w:rFonts w:ascii="Times New Roman" w:hAnsi="Times New Roman" w:eastAsia="仿宋_GB2312"/>
          <w:sz w:val="32"/>
        </w:rPr>
      </w:pPr>
      <w:r>
        <w:rPr>
          <w:rFonts w:hint="eastAsia" w:ascii="仿宋_GB2312" w:hAnsi="仿宋_GB2312" w:eastAsia="仿宋_GB2312" w:cs="仿宋_GB2312"/>
          <w:sz w:val="32"/>
          <w:szCs w:val="32"/>
        </w:rPr>
        <w:t>农用地补偿费标准依据《</w:t>
      </w:r>
      <w:r>
        <w:rPr>
          <w:rFonts w:hint="eastAsia" w:ascii="仿宋_GB2312" w:hAnsi="Times New Roman" w:eastAsia="仿宋_GB2312"/>
          <w:sz w:val="32"/>
          <w:szCs w:val="22"/>
        </w:rPr>
        <w:t>海南省人民政府关于重新公布全省征地区片综合地价的通知》（</w:t>
      </w:r>
      <w:r>
        <w:rPr>
          <w:rFonts w:hint="eastAsia" w:ascii="仿宋_GB2312" w:hAnsi="Times New Roman" w:eastAsia="仿宋_GB2312"/>
          <w:sz w:val="32"/>
          <w:szCs w:val="22"/>
          <w:highlight w:val="none"/>
        </w:rPr>
        <w:t>琼府</w:t>
      </w:r>
      <w:r>
        <w:rPr>
          <w:rFonts w:hint="eastAsia" w:ascii="仿宋_GB2312" w:hAnsi="Times New Roman" w:eastAsia="仿宋_GB2312"/>
          <w:sz w:val="32"/>
          <w:szCs w:val="22"/>
        </w:rPr>
        <w:t>〔2024〕9号）执行，建设用地土地补偿费按评估补偿或经协商按照所在区片</w:t>
      </w:r>
      <w:r>
        <w:rPr>
          <w:rFonts w:hint="eastAsia" w:ascii="仿宋_GB2312" w:hAnsi="Times New Roman" w:eastAsia="仿宋_GB2312"/>
          <w:sz w:val="32"/>
          <w:szCs w:val="22"/>
          <w:highlight w:val="none"/>
        </w:rPr>
        <w:t>证载</w:t>
      </w:r>
      <w:r>
        <w:rPr>
          <w:rFonts w:hint="eastAsia" w:ascii="仿宋_GB2312" w:hAnsi="Times New Roman" w:eastAsia="仿宋_GB2312"/>
          <w:sz w:val="32"/>
          <w:szCs w:val="22"/>
        </w:rPr>
        <w:t>用途的基准地价给予补偿。</w:t>
      </w:r>
    </w:p>
    <w:p>
      <w:pPr>
        <w:widowControl/>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四、收回土地青苗及地上附着物补偿标准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依据</w:t>
      </w:r>
      <w:r>
        <w:rPr>
          <w:rFonts w:hint="eastAsia" w:ascii="仿宋_GB2312" w:eastAsia="仿宋_GB2312"/>
          <w:sz w:val="32"/>
          <w:szCs w:val="22"/>
        </w:rPr>
        <w:t>《五指山市人民政府关于印发五指山市征地青苗及地上附着物补偿标准的通知》（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ascii="Times New Roman" w:hAnsi="Times New Roman" w:eastAsia="仿宋_GB2312"/>
          <w:sz w:val="32"/>
          <w:szCs w:val="32"/>
        </w:rPr>
        <w:t>。</w:t>
      </w:r>
      <w:r>
        <w:rPr>
          <w:rFonts w:hint="eastAsia" w:ascii="Times New Roman" w:hAnsi="Times New Roman" w:eastAsia="仿宋_GB2312"/>
          <w:sz w:val="32"/>
          <w:szCs w:val="32"/>
          <w:highlight w:val="none"/>
        </w:rPr>
        <w:t>实地清点青苗及地上附着物补偿结果须经</w:t>
      </w:r>
      <w:r>
        <w:rPr>
          <w:rFonts w:hint="eastAsia" w:ascii="Times New Roman" w:hAnsi="Times New Roman" w:eastAsia="仿宋_GB2312"/>
          <w:sz w:val="32"/>
          <w:szCs w:val="32"/>
          <w:highlight w:val="none"/>
          <w:lang w:eastAsia="zh-CN"/>
        </w:rPr>
        <w:t>通什镇人民政府</w:t>
      </w:r>
      <w:r>
        <w:rPr>
          <w:rFonts w:hint="eastAsia" w:ascii="Times New Roman" w:hAnsi="Times New Roman" w:eastAsia="仿宋_GB2312"/>
          <w:sz w:val="32"/>
          <w:szCs w:val="32"/>
          <w:highlight w:val="none"/>
        </w:rPr>
        <w:t>与被</w:t>
      </w:r>
      <w:r>
        <w:rPr>
          <w:rFonts w:hint="eastAsia" w:eastAsia="仿宋_GB2312"/>
          <w:sz w:val="32"/>
          <w:szCs w:val="32"/>
          <w:highlight w:val="none"/>
        </w:rPr>
        <w:t>收回</w:t>
      </w:r>
      <w:r>
        <w:rPr>
          <w:rFonts w:hint="eastAsia" w:ascii="Times New Roman" w:hAnsi="Times New Roman" w:eastAsia="仿宋_GB2312"/>
          <w:sz w:val="32"/>
          <w:szCs w:val="32"/>
          <w:highlight w:val="none"/>
        </w:rPr>
        <w:t>附着物产权人共同确认</w:t>
      </w:r>
      <w:r>
        <w:rPr>
          <w:rFonts w:ascii="Times New Roman" w:hAnsi="Times New Roman" w:eastAsia="仿宋_GB2312"/>
          <w:sz w:val="32"/>
          <w:szCs w:val="32"/>
          <w:highlight w:val="none"/>
        </w:rPr>
        <w:t>。</w:t>
      </w:r>
    </w:p>
    <w:p>
      <w:pPr>
        <w:widowControl/>
        <w:adjustRightInd w:val="0"/>
        <w:snapToGrid w:val="0"/>
        <w:spacing w:line="560" w:lineRule="exact"/>
        <w:ind w:firstLine="640" w:firstLineChars="200"/>
        <w:rPr>
          <w:rFonts w:hint="eastAsia" w:ascii="黑体" w:hAnsi="黑体" w:eastAsia="黑体" w:cs="黑体"/>
          <w:sz w:val="32"/>
        </w:rPr>
      </w:pPr>
      <w:r>
        <w:rPr>
          <w:rFonts w:hint="eastAsia" w:ascii="黑体" w:hAnsi="黑体" w:eastAsia="黑体" w:cs="黑体"/>
          <w:sz w:val="32"/>
        </w:rPr>
        <w:t>五、其他事项</w:t>
      </w:r>
    </w:p>
    <w:p>
      <w:pPr>
        <w:widowControl/>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22"/>
        </w:rPr>
        <w:t>本公告自发布之日起公示10个工作日。如对上述拟收回土地有关事项有异议的，可自公告发布之日起10个工作日内向通什镇政府提出书面意见，逾期不反馈视为无异议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widowControl/>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自本公告发布之日起，任何单位和个人不得在拟收回土地范围内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widowControl/>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widowControl/>
        <w:adjustRightInd w:val="0"/>
        <w:snapToGrid w:val="0"/>
        <w:spacing w:line="560" w:lineRule="exact"/>
        <w:ind w:firstLine="640" w:firstLineChars="200"/>
        <w:jc w:val="right"/>
        <w:rPr>
          <w:rFonts w:hint="eastAsia" w:ascii="仿宋_GB2312" w:hAnsi="仿宋_GB2312" w:eastAsia="仿宋_GB2312" w:cs="仿宋_GB2312"/>
          <w:sz w:val="32"/>
        </w:rPr>
      </w:pPr>
    </w:p>
    <w:p>
      <w:pPr>
        <w:widowControl/>
        <w:adjustRightInd w:val="0"/>
        <w:snapToGrid w:val="0"/>
        <w:spacing w:line="560" w:lineRule="exact"/>
        <w:ind w:firstLine="0" w:firstLineChars="0"/>
        <w:jc w:val="both"/>
        <w:rPr>
          <w:rFonts w:hint="eastAsia" w:ascii="仿宋_GB2312" w:hAnsi="仿宋_GB2312" w:eastAsia="仿宋_GB2312" w:cs="仿宋_GB2312"/>
          <w:sz w:val="32"/>
        </w:rPr>
      </w:pP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pacing w:val="-6"/>
          <w:sz w:val="32"/>
        </w:rPr>
        <w:t>五指山市人民政府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32"/>
        </w:rPr>
        <w:t>（此件主动公开）</w:t>
      </w:r>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80DF2"/>
    <w:rsid w:val="7A18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2024-06-03T01:04:00Z</dcterms:created>
  <dc:creator>政府办打字员</dc:creator>
  <cp:lastModifiedBy>政府办打字员</cp:lastModifiedBy>
  <cp:lastPrinted>2024-06-03T01:09:00Z</cp:lastPrinted>
  <dcterms:modified xsi:type="dcterms:W3CDTF">2024-06-03T01:11:20Z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