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Times New Roman"/>
          <w:sz w:val="52"/>
          <w:szCs w:val="52"/>
          <w:lang w:eastAsia="zh-CN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114300" distR="114300">
            <wp:extent cx="1798955" cy="1447800"/>
            <wp:effectExtent l="0" t="0" r="10795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eastAsia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44"/>
          <w:szCs w:val="44"/>
        </w:rPr>
        <w:t xml:space="preserve"> </w:t>
      </w:r>
      <w:r>
        <w:rPr>
          <w:rFonts w:hint="eastAsia" w:ascii="仿宋_GB2312" w:hAnsi="Calibri" w:eastAsia="仿宋_GB2312" w:cs="Times New Roman"/>
          <w:sz w:val="52"/>
          <w:szCs w:val="52"/>
        </w:rPr>
        <w:t>第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六</w:t>
      </w:r>
      <w:r>
        <w:rPr>
          <w:rFonts w:hint="eastAsia" w:ascii="仿宋_GB2312" w:hAnsi="Calibri" w:eastAsia="仿宋_GB2312" w:cs="Times New Roman"/>
          <w:sz w:val="52"/>
          <w:szCs w:val="52"/>
        </w:rPr>
        <w:t xml:space="preserve">篇  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金融保险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26035</wp:posOffset>
                </wp:positionV>
                <wp:extent cx="5899785" cy="28575"/>
                <wp:effectExtent l="0" t="38100" r="5715" b="476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785" cy="28575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4pt;margin-top:2.05pt;height:2.25pt;width:464.55pt;z-index:251661312;mso-width-relative:page;mso-height-relative:page;" filled="f" stroked="t" coordsize="21600,21600" o:gfxdata="UEsDBAoAAAAAAIdO4kAAAAAAAAAAAAAAAAAEAAAAZHJzL1BLAwQUAAAACACHTuJAe7klLNcAAAAG&#10;AQAADwAAAGRycy9kb3ducmV2LnhtbE3OTU/DMAwG4DsS/yEyEjeWFKaxlaY7IBW4wGAUwdFrTFPR&#10;OKXJvv494QQny3qt10+xPLhe7GgMnWcN2USBIG686bjVUL9WF3MQISIb7D2ThiMFWJanJwXmxu/5&#10;hXbr2IpUwiFHDTbGIZcyNJYchokfiFP26UeHMa1jK82I+1Tuenmp1Ew67Dh9sDjQraXma711GlT1&#10;/r26P75hZe+eH5+qB/tR11br87NM3YCIdIh/x/DLT3Qok2njt2yC6DVMp0ke08xApHhxfbUAsdEw&#10;n4EsC/mfX/4AUEsDBBQAAAAIAIdO4kAmS4bx9wEAAMUDAAAOAAAAZHJzL2Uyb0RvYy54bWytU81u&#10;EzEQviP1HSzfm00ipUlX2fTQUC4IItFyn/hn18J/st1s8hK8ABI3OHHkztvQPgZjb4gKXBBCK1lj&#10;z+zn+b75vLzaG012IkTlbEMnozElwjLHlW0bend7c76gJCawHLSzoqEHEenV6uzZsve1mLrOaS4C&#10;QRAb6943tEvJ11UVWScMxJHzwmJSumAg4Ta0FQ/QI7rR1XQ8vqh6F7gPjokY8XQ9JOmq4EspWHot&#10;ZRSJ6IZib6msoazbvFarJdRtAN8pdmwD/qELA8ripSeoNSQg90H9AWUUCy46mUbMmcpJqZgoHJDN&#10;ZPwbmzcdeFG4oDjRn2SK/w+WvdptAlEcZzejxILBGT18+Pr9/afHbx9xffjymWAGZep9rLH62m7C&#10;cRf9JmTOexkMkVr5t4hSVEBeZF9EPpxEFvtEGB7OFpeX8wVexjA3XczmBb0aYDKcDzG9EM6QHDRU&#10;K5s1gBp2L2PCq7H0Z0k+1pb0DZ1foBsQE9BDUkPC0HhklTplb3G27wpEdFrxG6V1/jGGdnutA9lB&#10;9sY6f5knwv9Slu9aQ+yGupIaXGNUElkKqDsB/LnlJB08ymfR6DT3ZASnRAt8FzkqlQmU/ptKbELb&#10;DC2Kh4/E8wgG0XO0dfyAs7v3QbUdCjUp3ecMeqXwOPo6m/HpHuOnr2/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u5JSzXAAAABgEAAA8AAAAAAAAAAQAgAAAAIgAAAGRycy9kb3ducmV2LnhtbFBL&#10;AQIUABQAAAAIAIdO4kAmS4bx9wEAAMUDAAAOAAAAAAAAAAEAIAAAACYBAABkcnMvZTJvRG9jLnht&#10;bFBLBQYAAAAABgAGAFkBAACPBQAAAAA=&#10;">
                <v:fill on="f" focussize="0,0"/>
                <v:stroke weight="6pt" color="#0D0D0D" linestyle="thinThick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52"/>
          <w:szCs w:val="52"/>
        </w:rPr>
        <w:t xml:space="preserve"> 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简要说明：本篇资料反映历年全市金融、保险业发展情况。摘录全省各市县当年金融、保险业发展情况。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编辑人员：何琳琳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ectPr>
          <w:headerReference r:id="rId3" w:type="first"/>
          <w:pgSz w:w="11906" w:h="16838"/>
          <w:pgMar w:top="1020" w:right="1083" w:bottom="1020" w:left="1083" w:header="624" w:footer="510" w:gutter="0"/>
          <w:cols w:space="425" w:num="1"/>
          <w:titlePg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drawing>
          <wp:inline distT="0" distB="0" distL="114300" distR="114300">
            <wp:extent cx="6172200" cy="9190990"/>
            <wp:effectExtent l="0" t="0" r="0" b="1016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9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3470" cy="9115425"/>
            <wp:effectExtent l="0" t="0" r="17780" b="952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仿宋_GB2312" w:hAnsi="仿宋_GB2312" w:eastAsia="仿宋_GB2312" w:cs="仿宋_GB2312"/>
          <w:sz w:val="30"/>
          <w:szCs w:val="30"/>
        </w:rPr>
        <w:br w:type="page"/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3470" cy="9110980"/>
            <wp:effectExtent l="0" t="0" r="1778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2200" cy="9259570"/>
            <wp:effectExtent l="0" t="0" r="0" b="635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2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89980" cy="9223375"/>
            <wp:effectExtent l="0" t="0" r="12700" b="12065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9980" cy="922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2200" cy="9121140"/>
            <wp:effectExtent l="0" t="0" r="0" b="381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8" w:type="first"/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1020" w:right="1083" w:bottom="1020" w:left="1083" w:header="510" w:footer="510" w:gutter="0"/>
      <w:pgNumType w:fmt="numberInDash" w:start="6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318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68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68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ascii="黑体" w:eastAsia="黑体"/>
        <w:sz w:val="18"/>
        <w:szCs w:val="18"/>
      </w:rPr>
      <w:t>金融保险</w:t>
    </w:r>
    <w:r>
      <w:rPr>
        <w:rFonts w:hint="eastAsia" w:ascii="黑体" w:eastAsia="黑体"/>
        <w:sz w:val="18"/>
        <w:szCs w:val="18"/>
        <w:lang w:val="en-US" w:eastAsia="zh-CN"/>
      </w:rPr>
      <w:t xml:space="preserve"> </w:t>
    </w:r>
    <w:r>
      <w:drawing>
        <wp:inline distT="0" distB="0" distL="0" distR="0">
          <wp:extent cx="421640" cy="323850"/>
          <wp:effectExtent l="0" t="0" r="5080" b="11430"/>
          <wp:docPr id="11" name="图片 8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8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left"/>
    </w:pPr>
    <w:r>
      <w:drawing>
        <wp:inline distT="0" distB="0" distL="0" distR="0">
          <wp:extent cx="421640" cy="323850"/>
          <wp:effectExtent l="0" t="0" r="5080" b="11430"/>
          <wp:docPr id="12" name="图片 8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8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 w:ascii="黑体" w:eastAsia="黑体"/>
        <w:sz w:val="18"/>
        <w:szCs w:val="18"/>
      </w:rPr>
      <w:t>金融保险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200C3"/>
    <w:rsid w:val="13C72A84"/>
    <w:rsid w:val="20F200C3"/>
    <w:rsid w:val="24241599"/>
    <w:rsid w:val="3F8A7354"/>
    <w:rsid w:val="5C967952"/>
    <w:rsid w:val="6F740CDA"/>
    <w:rsid w:val="785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8.emf"/><Relationship Id="rId15" Type="http://schemas.openxmlformats.org/officeDocument/2006/relationships/image" Target="media/image7.emf"/><Relationship Id="rId14" Type="http://schemas.openxmlformats.org/officeDocument/2006/relationships/image" Target="media/image6.emf"/><Relationship Id="rId13" Type="http://schemas.openxmlformats.org/officeDocument/2006/relationships/image" Target="media/image5.emf"/><Relationship Id="rId12" Type="http://schemas.openxmlformats.org/officeDocument/2006/relationships/image" Target="media/image4.emf"/><Relationship Id="rId11" Type="http://schemas.openxmlformats.org/officeDocument/2006/relationships/image" Target="media/image3.emf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2020-01-13T08:37:00Z</dcterms:created>
  <dc:creator>wzs</dc:creator>
  <cp:lastModifiedBy>wzs</cp:lastModifiedBy>
  <dcterms:modified xsi:type="dcterms:W3CDTF">2020-01-19T10:20:13Z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