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r>
        <w:rPr>
          <w:rFonts w:hint="eastAsia" w:ascii="方正小标宋简体" w:hAnsi="方正小标宋简体" w:eastAsia="方正小标宋简体" w:cs="方正小标宋简体"/>
          <w:b w:val="0"/>
          <w:bCs w:val="0"/>
          <w:color w:val="auto"/>
          <w:kern w:val="0"/>
          <w:sz w:val="44"/>
          <w:szCs w:val="44"/>
          <w:highlight w:val="none"/>
          <w:lang w:val="en-US" w:eastAsia="zh-CN" w:bidi="ar-SA"/>
        </w:rPr>
        <w:t>五指山市交通运输行业突发事件</w:t>
      </w: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r>
        <w:rPr>
          <w:rFonts w:hint="eastAsia" w:ascii="方正小标宋简体" w:hAnsi="方正小标宋简体" w:eastAsia="方正小标宋简体" w:cs="方正小标宋简体"/>
          <w:b w:val="0"/>
          <w:bCs w:val="0"/>
          <w:color w:val="auto"/>
          <w:kern w:val="0"/>
          <w:sz w:val="44"/>
          <w:szCs w:val="44"/>
          <w:highlight w:val="none"/>
          <w:lang w:val="en-US" w:eastAsia="zh-CN" w:bidi="ar-SA"/>
        </w:rPr>
        <w:t>综合应急预案</w:t>
      </w: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32"/>
          <w:szCs w:val="32"/>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both"/>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bidi="ar-SA"/>
        </w:rPr>
      </w:pPr>
    </w:p>
    <w:p>
      <w:pPr>
        <w:keepNext w:val="0"/>
        <w:keepLines w:val="0"/>
        <w:pageBreakBefore w:val="0"/>
        <w:widowControl w:val="0"/>
        <w:tabs>
          <w:tab w:val="left" w:pos="328"/>
          <w:tab w:val="center" w:pos="4213"/>
        </w:tabs>
        <w:kinsoku/>
        <w:wordWrap/>
        <w:overflowPunct/>
        <w:topLinePunct w:val="0"/>
        <w:autoSpaceDE/>
        <w:autoSpaceDN/>
        <w:bidi w:val="0"/>
        <w:adjustRightInd w:val="0"/>
        <w:snapToGrid w:val="0"/>
        <w:spacing w:before="0" w:beforeLines="0" w:after="0" w:afterLines="0" w:line="720" w:lineRule="exact"/>
        <w:ind w:left="0" w:leftChars="0" w:right="0" w:rightChars="0" w:firstLine="0" w:firstLineChars="0"/>
        <w:jc w:val="center"/>
        <w:textAlignment w:val="auto"/>
        <w:rPr>
          <w:rFonts w:hint="eastAsia" w:ascii="仿宋_GB2312" w:hAnsi="仿宋_GB2312" w:eastAsia="仿宋_GB2312" w:cs="仿宋_GB2312"/>
          <w:b w:val="0"/>
          <w:bCs w:val="0"/>
          <w:color w:val="auto"/>
          <w:kern w:val="0"/>
          <w:sz w:val="44"/>
          <w:szCs w:val="44"/>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2023年5月</w:t>
      </w:r>
    </w:p>
    <w:p>
      <w:pPr>
        <w:rPr>
          <w:rFonts w:hint="eastAsia"/>
          <w:highlight w:val="none"/>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8"/>
        <w:tabs>
          <w:tab w:val="right" w:leader="dot" w:pos="8306"/>
        </w:tabs>
        <w:ind w:left="0" w:leftChars="0" w:firstLine="0" w:firstLineChars="0"/>
        <w:jc w:val="center"/>
        <w:rPr>
          <w:rFonts w:hint="eastAsia" w:ascii="宋体" w:hAnsi="宋体" w:eastAsia="宋体" w:cs="宋体"/>
          <w:b/>
          <w:bCs/>
          <w:color w:val="auto"/>
          <w:kern w:val="0"/>
          <w:sz w:val="36"/>
          <w:szCs w:val="72"/>
          <w:highlight w:val="none"/>
        </w:rPr>
      </w:pPr>
      <w:r>
        <w:rPr>
          <w:rFonts w:hint="eastAsia" w:ascii="宋体" w:hAnsi="宋体" w:eastAsia="宋体" w:cs="宋体"/>
          <w:b/>
          <w:bCs/>
          <w:color w:val="auto"/>
          <w:kern w:val="0"/>
          <w:sz w:val="36"/>
          <w:szCs w:val="72"/>
          <w:highlight w:val="none"/>
        </w:rPr>
        <w:t>目</w:t>
      </w:r>
      <w:r>
        <w:rPr>
          <w:rFonts w:hint="eastAsia" w:ascii="宋体" w:hAnsi="宋体" w:cs="宋体"/>
          <w:b/>
          <w:bCs/>
          <w:color w:val="auto"/>
          <w:kern w:val="0"/>
          <w:sz w:val="36"/>
          <w:szCs w:val="72"/>
          <w:highlight w:val="none"/>
          <w:lang w:val="en-US" w:eastAsia="zh-CN"/>
        </w:rPr>
        <w:t xml:space="preserve">  </w:t>
      </w:r>
      <w:r>
        <w:rPr>
          <w:rFonts w:hint="eastAsia" w:ascii="宋体" w:hAnsi="宋体" w:eastAsia="宋体" w:cs="宋体"/>
          <w:b/>
          <w:bCs/>
          <w:color w:val="auto"/>
          <w:kern w:val="0"/>
          <w:sz w:val="36"/>
          <w:szCs w:val="72"/>
          <w:highlight w:val="none"/>
        </w:rPr>
        <w:t>录</w:t>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TOC \o "1-2" \h \u </w:instrText>
      </w:r>
      <w:r>
        <w:rPr>
          <w:rFonts w:hint="eastAsia" w:ascii="宋体" w:hAnsi="宋体" w:eastAsia="宋体" w:cs="宋体"/>
          <w:color w:val="auto"/>
          <w:kern w:val="0"/>
          <w:sz w:val="30"/>
          <w:szCs w:val="30"/>
          <w:highlight w:val="none"/>
        </w:rPr>
        <w:fldChar w:fldCharType="separate"/>
      </w:r>
    </w:p>
    <w:p>
      <w:pPr>
        <w:pStyle w:val="7"/>
        <w:tabs>
          <w:tab w:val="right" w:leader="dot" w:pos="8306"/>
        </w:tabs>
        <w:rPr>
          <w:rFonts w:hint="eastAsia" w:ascii="宋体" w:hAnsi="宋体" w:eastAsia="宋体" w:cs="宋体"/>
          <w:b/>
          <w:bCs/>
          <w:sz w:val="30"/>
          <w:szCs w:val="30"/>
          <w:highlight w:val="none"/>
        </w:rPr>
      </w:pP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kern w:val="0"/>
          <w:sz w:val="30"/>
          <w:szCs w:val="30"/>
          <w:highlight w:val="none"/>
        </w:rPr>
        <w:instrText xml:space="preserve"> HYPERLINK \l _Toc1820 </w:instrText>
      </w:r>
      <w:r>
        <w:rPr>
          <w:rFonts w:hint="eastAsia" w:ascii="宋体" w:hAnsi="宋体" w:eastAsia="宋体" w:cs="宋体"/>
          <w:b/>
          <w:bCs/>
          <w:kern w:val="0"/>
          <w:sz w:val="30"/>
          <w:szCs w:val="30"/>
          <w:highlight w:val="none"/>
        </w:rPr>
        <w:fldChar w:fldCharType="separate"/>
      </w:r>
      <w:r>
        <w:rPr>
          <w:rFonts w:hint="eastAsia" w:ascii="宋体" w:hAnsi="宋体" w:eastAsia="宋体" w:cs="宋体"/>
          <w:b/>
          <w:bCs/>
          <w:kern w:val="0"/>
          <w:sz w:val="30"/>
          <w:szCs w:val="30"/>
          <w:highlight w:val="none"/>
        </w:rPr>
        <w:t>1.总则</w:t>
      </w:r>
      <w:r>
        <w:rPr>
          <w:rFonts w:hint="eastAsia" w:ascii="宋体" w:hAnsi="宋体" w:eastAsia="宋体" w:cs="宋体"/>
          <w:b/>
          <w:bCs/>
          <w:sz w:val="30"/>
          <w:szCs w:val="30"/>
          <w:highlight w:val="none"/>
        </w:rPr>
        <w:tab/>
      </w:r>
      <w:r>
        <w:rPr>
          <w:rFonts w:hint="eastAsia" w:ascii="宋体" w:hAnsi="宋体" w:eastAsia="宋体" w:cs="宋体"/>
          <w:b/>
          <w:bCs/>
          <w:sz w:val="30"/>
          <w:szCs w:val="30"/>
          <w:highlight w:val="none"/>
        </w:rPr>
        <w:fldChar w:fldCharType="begin"/>
      </w:r>
      <w:r>
        <w:rPr>
          <w:rFonts w:hint="eastAsia" w:ascii="宋体" w:hAnsi="宋体" w:eastAsia="宋体" w:cs="宋体"/>
          <w:b/>
          <w:bCs/>
          <w:sz w:val="30"/>
          <w:szCs w:val="30"/>
          <w:highlight w:val="none"/>
        </w:rPr>
        <w:instrText xml:space="preserve"> PAGEREF _Toc1820 \h </w:instrText>
      </w:r>
      <w:r>
        <w:rPr>
          <w:rFonts w:hint="eastAsia" w:ascii="宋体" w:hAnsi="宋体" w:eastAsia="宋体" w:cs="宋体"/>
          <w:b/>
          <w:bCs/>
          <w:sz w:val="30"/>
          <w:szCs w:val="30"/>
          <w:highlight w:val="none"/>
        </w:rPr>
        <w:fldChar w:fldCharType="separate"/>
      </w:r>
      <w:r>
        <w:rPr>
          <w:rFonts w:hint="eastAsia" w:ascii="宋体" w:hAnsi="宋体" w:eastAsia="宋体" w:cs="宋体"/>
          <w:b/>
          <w:bCs/>
          <w:sz w:val="30"/>
          <w:szCs w:val="30"/>
          <w:highlight w:val="none"/>
        </w:rPr>
        <w:t>1</w:t>
      </w:r>
      <w:r>
        <w:rPr>
          <w:rFonts w:hint="eastAsia" w:ascii="宋体" w:hAnsi="宋体" w:eastAsia="宋体" w:cs="宋体"/>
          <w:b/>
          <w:bCs/>
          <w:sz w:val="30"/>
          <w:szCs w:val="30"/>
          <w:highlight w:val="none"/>
        </w:rPr>
        <w:fldChar w:fldCharType="end"/>
      </w:r>
      <w:r>
        <w:rPr>
          <w:rFonts w:hint="eastAsia" w:ascii="宋体" w:hAnsi="宋体" w:eastAsia="宋体" w:cs="宋体"/>
          <w:b/>
          <w:bCs/>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_Toc32020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rPr>
        <w:t>1.1编制目的</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_Toc32020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1</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_Toc2818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rPr>
        <w:t>1.2编制依据</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_Toc2818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1</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_Toc21032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eastAsia="zh-CN"/>
        </w:rPr>
        <w:t>1.</w:t>
      </w:r>
      <w:r>
        <w:rPr>
          <w:rFonts w:hint="eastAsia" w:ascii="宋体" w:hAnsi="宋体" w:eastAsia="宋体" w:cs="宋体"/>
          <w:kern w:val="0"/>
          <w:sz w:val="30"/>
          <w:szCs w:val="30"/>
          <w:highlight w:val="none"/>
          <w:lang w:val="en-US" w:eastAsia="zh-CN"/>
        </w:rPr>
        <w:t>3</w:t>
      </w:r>
      <w:r>
        <w:rPr>
          <w:rFonts w:hint="eastAsia" w:ascii="宋体" w:hAnsi="宋体" w:eastAsia="宋体" w:cs="宋体"/>
          <w:kern w:val="0"/>
          <w:sz w:val="30"/>
          <w:szCs w:val="30"/>
          <w:highlight w:val="none"/>
          <w:lang w:eastAsia="zh-CN"/>
        </w:rPr>
        <w:t>突发事件分类分级</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_Toc21032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2</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_Toc10389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rPr>
        <w:t>1.4适用范围</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_Toc10389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_Toc26804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rPr>
        <w:t>1.5工作原则</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_Toc26804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4</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_Toc17102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rPr>
        <w:t>1.6应急预案</w:t>
      </w:r>
      <w:r>
        <w:rPr>
          <w:rFonts w:hint="eastAsia" w:ascii="宋体" w:hAnsi="宋体" w:eastAsia="宋体" w:cs="宋体"/>
          <w:kern w:val="0"/>
          <w:sz w:val="30"/>
          <w:szCs w:val="30"/>
          <w:highlight w:val="none"/>
          <w:lang w:eastAsia="zh-CN"/>
        </w:rPr>
        <w:t>体系</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_Toc17102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5</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HYPERLINK \l _Toc25985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lang w:val="en-US" w:eastAsia="zh-CN"/>
        </w:rPr>
        <w:t>2.</w:t>
      </w:r>
      <w:r>
        <w:rPr>
          <w:rFonts w:hint="eastAsia" w:ascii="宋体" w:hAnsi="宋体" w:eastAsia="宋体" w:cs="宋体"/>
          <w:b/>
          <w:bCs/>
          <w:color w:val="auto"/>
          <w:kern w:val="0"/>
          <w:sz w:val="30"/>
          <w:szCs w:val="30"/>
          <w:highlight w:val="none"/>
          <w:lang w:eastAsia="zh-CN"/>
        </w:rPr>
        <w:t>风险分析及应急资源调查</w:t>
      </w:r>
      <w:r>
        <w:rPr>
          <w:rFonts w:hint="eastAsia" w:ascii="宋体" w:hAnsi="宋体" w:eastAsia="宋体" w:cs="宋体"/>
          <w:b/>
          <w:bCs/>
          <w:color w:val="auto"/>
          <w:kern w:val="0"/>
          <w:sz w:val="30"/>
          <w:szCs w:val="30"/>
          <w:highlight w:val="none"/>
        </w:rPr>
        <w:tab/>
      </w: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PAGEREF _Toc25985 \h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rPr>
        <w:t>6</w:t>
      </w:r>
      <w:r>
        <w:rPr>
          <w:rFonts w:hint="eastAsia" w:ascii="宋体" w:hAnsi="宋体" w:eastAsia="宋体" w:cs="宋体"/>
          <w:b/>
          <w:bCs/>
          <w:color w:val="auto"/>
          <w:kern w:val="0"/>
          <w:sz w:val="30"/>
          <w:szCs w:val="30"/>
          <w:highlight w:val="none"/>
        </w:rPr>
        <w:fldChar w:fldCharType="end"/>
      </w:r>
      <w:r>
        <w:rPr>
          <w:rFonts w:hint="eastAsia" w:ascii="宋体" w:hAnsi="宋体" w:eastAsia="宋体" w:cs="宋体"/>
          <w:b/>
          <w:bCs/>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_Toc15893 </w:instrText>
      </w:r>
      <w:r>
        <w:rPr>
          <w:rFonts w:hint="eastAsia" w:ascii="宋体" w:hAnsi="宋体" w:eastAsia="宋体" w:cs="宋体"/>
          <w:kern w:val="0"/>
          <w:sz w:val="30"/>
          <w:szCs w:val="30"/>
          <w:highlight w:val="none"/>
        </w:rPr>
        <w:fldChar w:fldCharType="separate"/>
      </w:r>
      <w:r>
        <w:rPr>
          <w:rFonts w:hint="eastAsia" w:ascii="宋体" w:hAnsi="宋体" w:eastAsia="宋体" w:cs="宋体"/>
          <w:bCs w:val="0"/>
          <w:kern w:val="0"/>
          <w:sz w:val="30"/>
          <w:szCs w:val="30"/>
          <w:highlight w:val="none"/>
          <w:lang w:val="en-US" w:eastAsia="zh-CN"/>
        </w:rPr>
        <w:t>2.1风险分析</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_Toc15893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6</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_Toc14148 </w:instrText>
      </w:r>
      <w:r>
        <w:rPr>
          <w:rFonts w:hint="eastAsia" w:ascii="宋体" w:hAnsi="宋体" w:eastAsia="宋体" w:cs="宋体"/>
          <w:kern w:val="0"/>
          <w:sz w:val="30"/>
          <w:szCs w:val="30"/>
          <w:highlight w:val="none"/>
        </w:rPr>
        <w:fldChar w:fldCharType="separate"/>
      </w:r>
      <w:r>
        <w:rPr>
          <w:rFonts w:hint="eastAsia" w:ascii="宋体" w:hAnsi="宋体" w:eastAsia="宋体" w:cs="宋体"/>
          <w:bCs w:val="0"/>
          <w:sz w:val="30"/>
          <w:szCs w:val="30"/>
          <w:highlight w:val="none"/>
          <w:lang w:val="en-US" w:eastAsia="zh-CN"/>
        </w:rPr>
        <w:t>2.2应急资源调查</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_Toc14148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7</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HYPERLINK \l _Toc13350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lang w:val="en-US" w:eastAsia="zh-CN"/>
        </w:rPr>
        <w:t>3</w:t>
      </w:r>
      <w:r>
        <w:rPr>
          <w:rFonts w:hint="eastAsia" w:ascii="宋体" w:hAnsi="宋体" w:eastAsia="宋体" w:cs="宋体"/>
          <w:b/>
          <w:bCs/>
          <w:color w:val="auto"/>
          <w:kern w:val="0"/>
          <w:sz w:val="30"/>
          <w:szCs w:val="30"/>
          <w:highlight w:val="none"/>
        </w:rPr>
        <w:t>.应急管理组织机构</w:t>
      </w:r>
      <w:r>
        <w:rPr>
          <w:rFonts w:hint="eastAsia" w:ascii="宋体" w:hAnsi="宋体" w:eastAsia="宋体" w:cs="宋体"/>
          <w:b/>
          <w:bCs/>
          <w:color w:val="auto"/>
          <w:kern w:val="0"/>
          <w:sz w:val="30"/>
          <w:szCs w:val="30"/>
          <w:highlight w:val="none"/>
          <w:lang w:val="zh-CN"/>
        </w:rPr>
        <w:t>与职责</w:t>
      </w:r>
      <w:r>
        <w:rPr>
          <w:rFonts w:hint="eastAsia" w:ascii="宋体" w:hAnsi="宋体" w:eastAsia="宋体" w:cs="宋体"/>
          <w:b/>
          <w:bCs/>
          <w:color w:val="auto"/>
          <w:kern w:val="0"/>
          <w:sz w:val="30"/>
          <w:szCs w:val="30"/>
          <w:highlight w:val="none"/>
        </w:rPr>
        <w:tab/>
      </w:r>
      <w:r>
        <w:rPr>
          <w:rFonts w:hint="eastAsia" w:ascii="宋体" w:hAnsi="宋体" w:cs="宋体"/>
          <w:b/>
          <w:bCs/>
          <w:color w:val="auto"/>
          <w:kern w:val="0"/>
          <w:sz w:val="30"/>
          <w:szCs w:val="30"/>
          <w:highlight w:val="none"/>
          <w:lang w:val="en-US" w:eastAsia="zh-CN"/>
        </w:rPr>
        <w:t>8</w:t>
      </w:r>
      <w:r>
        <w:rPr>
          <w:rFonts w:hint="eastAsia" w:ascii="宋体" w:hAnsi="宋体" w:eastAsia="宋体" w:cs="宋体"/>
          <w:b/>
          <w:bCs/>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_Toc28830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3</w:t>
      </w:r>
      <w:r>
        <w:rPr>
          <w:rFonts w:hint="eastAsia" w:ascii="宋体" w:hAnsi="宋体" w:eastAsia="宋体" w:cs="宋体"/>
          <w:kern w:val="0"/>
          <w:sz w:val="30"/>
          <w:szCs w:val="30"/>
          <w:highlight w:val="none"/>
        </w:rPr>
        <w:t>.1</w:t>
      </w:r>
      <w:r>
        <w:rPr>
          <w:rFonts w:hint="eastAsia" w:ascii="宋体" w:hAnsi="宋体" w:eastAsia="宋体" w:cs="宋体"/>
          <w:kern w:val="0"/>
          <w:sz w:val="30"/>
          <w:szCs w:val="30"/>
          <w:highlight w:val="none"/>
          <w:lang w:eastAsia="zh-CN"/>
        </w:rPr>
        <w:t>组织机构</w:t>
      </w:r>
      <w:r>
        <w:rPr>
          <w:rFonts w:hint="eastAsia" w:ascii="宋体" w:hAnsi="宋体" w:eastAsia="宋体" w:cs="宋体"/>
          <w:sz w:val="30"/>
          <w:szCs w:val="30"/>
          <w:highlight w:val="none"/>
        </w:rPr>
        <w:tab/>
      </w:r>
      <w:r>
        <w:rPr>
          <w:rFonts w:hint="eastAsia" w:ascii="宋体" w:hAnsi="宋体" w:cs="宋体"/>
          <w:sz w:val="30"/>
          <w:szCs w:val="30"/>
          <w:highlight w:val="none"/>
          <w:lang w:val="en-US" w:eastAsia="zh-CN"/>
        </w:rPr>
        <w:t>8</w:t>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_Toc6266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3</w:t>
      </w:r>
      <w:r>
        <w:rPr>
          <w:rFonts w:hint="eastAsia" w:ascii="宋体" w:hAnsi="宋体" w:eastAsia="宋体" w:cs="宋体"/>
          <w:kern w:val="0"/>
          <w:sz w:val="30"/>
          <w:szCs w:val="30"/>
          <w:highlight w:val="none"/>
          <w:lang w:val="zh-CN" w:eastAsia="zh-CN"/>
        </w:rPr>
        <w:t>.2应急工作组</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_Toc6266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10</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_Toc5116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3</w:t>
      </w:r>
      <w:r>
        <w:rPr>
          <w:rFonts w:hint="eastAsia" w:ascii="宋体" w:hAnsi="宋体" w:eastAsia="宋体" w:cs="宋体"/>
          <w:kern w:val="0"/>
          <w:sz w:val="30"/>
          <w:szCs w:val="30"/>
          <w:highlight w:val="none"/>
          <w:lang w:val="zh-CN" w:eastAsia="zh-CN"/>
        </w:rPr>
        <w:t>.3专家组</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_Toc5116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12</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_Toc16553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3</w:t>
      </w:r>
      <w:r>
        <w:rPr>
          <w:rFonts w:hint="eastAsia" w:ascii="宋体" w:hAnsi="宋体" w:eastAsia="宋体" w:cs="宋体"/>
          <w:kern w:val="0"/>
          <w:sz w:val="30"/>
          <w:szCs w:val="30"/>
          <w:highlight w:val="none"/>
          <w:lang w:val="zh-CN" w:eastAsia="zh-CN"/>
        </w:rPr>
        <w:t>.4组织结构图</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_Toc16553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12</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_Toc12755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3</w:t>
      </w:r>
      <w:r>
        <w:rPr>
          <w:rFonts w:hint="eastAsia" w:ascii="宋体" w:hAnsi="宋体" w:eastAsia="宋体" w:cs="宋体"/>
          <w:kern w:val="0"/>
          <w:sz w:val="30"/>
          <w:szCs w:val="30"/>
          <w:highlight w:val="none"/>
          <w:lang w:val="zh-CN" w:eastAsia="zh-CN"/>
        </w:rPr>
        <w:t>.5应急协作</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_Toc12755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1</w:t>
      </w:r>
      <w:r>
        <w:rPr>
          <w:rFonts w:hint="eastAsia" w:ascii="宋体" w:hAnsi="宋体" w:cs="宋体"/>
          <w:sz w:val="30"/>
          <w:szCs w:val="30"/>
          <w:highlight w:val="none"/>
          <w:lang w:val="en-US" w:eastAsia="zh-CN"/>
        </w:rPr>
        <w:t>3</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HYPERLINK \l _Toc16678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rPr>
        <w:t>4.预防与预警</w:t>
      </w:r>
      <w:r>
        <w:rPr>
          <w:rFonts w:hint="eastAsia" w:ascii="宋体" w:hAnsi="宋体" w:eastAsia="宋体" w:cs="宋体"/>
          <w:b/>
          <w:bCs/>
          <w:color w:val="auto"/>
          <w:kern w:val="0"/>
          <w:sz w:val="30"/>
          <w:szCs w:val="30"/>
          <w:highlight w:val="none"/>
        </w:rPr>
        <w:tab/>
      </w: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PAGEREF _Toc16678 \h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rPr>
        <w:t>13</w:t>
      </w:r>
      <w:r>
        <w:rPr>
          <w:rFonts w:hint="eastAsia" w:ascii="宋体" w:hAnsi="宋体" w:eastAsia="宋体" w:cs="宋体"/>
          <w:b/>
          <w:bCs/>
          <w:color w:val="auto"/>
          <w:kern w:val="0"/>
          <w:sz w:val="30"/>
          <w:szCs w:val="30"/>
          <w:highlight w:val="none"/>
        </w:rPr>
        <w:fldChar w:fldCharType="end"/>
      </w:r>
      <w:r>
        <w:rPr>
          <w:rFonts w:hint="eastAsia" w:ascii="宋体" w:hAnsi="宋体" w:eastAsia="宋体" w:cs="宋体"/>
          <w:b/>
          <w:bCs/>
          <w:color w:val="auto"/>
          <w:kern w:val="0"/>
          <w:sz w:val="30"/>
          <w:szCs w:val="30"/>
          <w:highlight w:val="none"/>
        </w:rPr>
        <w:fldChar w:fldCharType="end"/>
      </w:r>
    </w:p>
    <w:p>
      <w:pPr>
        <w:pStyle w:val="8"/>
        <w:tabs>
          <w:tab w:val="right" w:leader="dot" w:pos="8306"/>
        </w:tabs>
        <w:rPr>
          <w:rFonts w:hint="eastAsia"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HYPERLINK \l _Toc2278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lang w:val="zh-CN" w:eastAsia="zh-CN"/>
        </w:rPr>
        <w:t>4.1预防和预警信息</w:t>
      </w:r>
      <w:r>
        <w:rPr>
          <w:rFonts w:hint="eastAsia" w:ascii="宋体" w:hAnsi="宋体" w:eastAsia="宋体" w:cs="宋体"/>
          <w:color w:val="auto"/>
          <w:kern w:val="0"/>
          <w:sz w:val="30"/>
          <w:szCs w:val="30"/>
          <w:highlight w:val="none"/>
        </w:rPr>
        <w:tab/>
      </w: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PAGEREF _Toc2278 \h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rPr>
        <w:t>13</w:t>
      </w:r>
      <w:r>
        <w:rPr>
          <w:rFonts w:hint="eastAsia" w:ascii="宋体" w:hAnsi="宋体" w:eastAsia="宋体" w:cs="宋体"/>
          <w:color w:val="auto"/>
          <w:kern w:val="0"/>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HYPERLINK \l _Toc13799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lang w:val="en-US" w:eastAsia="zh-CN"/>
        </w:rPr>
        <w:t>4</w:t>
      </w:r>
      <w:r>
        <w:rPr>
          <w:rFonts w:hint="eastAsia" w:ascii="宋体" w:hAnsi="宋体" w:eastAsia="宋体" w:cs="宋体"/>
          <w:color w:val="auto"/>
          <w:kern w:val="0"/>
          <w:sz w:val="30"/>
          <w:szCs w:val="30"/>
          <w:highlight w:val="none"/>
          <w:lang w:val="zh-CN" w:eastAsia="zh-CN"/>
        </w:rPr>
        <w:t>.2预警信息收集</w:t>
      </w:r>
      <w:r>
        <w:rPr>
          <w:rFonts w:hint="eastAsia" w:ascii="宋体" w:hAnsi="宋体" w:eastAsia="宋体" w:cs="宋体"/>
          <w:color w:val="auto"/>
          <w:kern w:val="0"/>
          <w:sz w:val="30"/>
          <w:szCs w:val="30"/>
          <w:highlight w:val="none"/>
        </w:rPr>
        <w:tab/>
      </w: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PAGEREF _Toc13799 \h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rPr>
        <w:t>14</w:t>
      </w:r>
      <w:r>
        <w:rPr>
          <w:rFonts w:hint="eastAsia" w:ascii="宋体" w:hAnsi="宋体" w:eastAsia="宋体" w:cs="宋体"/>
          <w:color w:val="auto"/>
          <w:kern w:val="0"/>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HYPERLINK \l _Toc17965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lang w:val="en-US" w:eastAsia="zh-CN"/>
        </w:rPr>
        <w:t>4</w:t>
      </w:r>
      <w:r>
        <w:rPr>
          <w:rFonts w:hint="eastAsia" w:ascii="宋体" w:hAnsi="宋体" w:eastAsia="宋体" w:cs="宋体"/>
          <w:color w:val="auto"/>
          <w:kern w:val="0"/>
          <w:sz w:val="30"/>
          <w:szCs w:val="30"/>
          <w:highlight w:val="none"/>
          <w:lang w:val="zh-CN" w:eastAsia="zh-CN"/>
        </w:rPr>
        <w:t>.3预警信息发布</w:t>
      </w:r>
      <w:r>
        <w:rPr>
          <w:rFonts w:hint="eastAsia" w:ascii="宋体" w:hAnsi="宋体" w:eastAsia="宋体" w:cs="宋体"/>
          <w:color w:val="auto"/>
          <w:kern w:val="0"/>
          <w:sz w:val="30"/>
          <w:szCs w:val="30"/>
          <w:highlight w:val="none"/>
        </w:rPr>
        <w:tab/>
      </w: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PAGEREF _Toc17965 \h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rPr>
        <w:t>14</w:t>
      </w:r>
      <w:r>
        <w:rPr>
          <w:rFonts w:hint="eastAsia" w:ascii="宋体" w:hAnsi="宋体" w:eastAsia="宋体" w:cs="宋体"/>
          <w:color w:val="auto"/>
          <w:kern w:val="0"/>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HYPERLINK \l _Toc4280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lang w:val="en-US" w:eastAsia="zh-CN"/>
        </w:rPr>
        <w:t>4.4防御响应</w:t>
      </w:r>
      <w:r>
        <w:rPr>
          <w:rFonts w:hint="eastAsia" w:ascii="宋体" w:hAnsi="宋体" w:eastAsia="宋体" w:cs="宋体"/>
          <w:color w:val="auto"/>
          <w:kern w:val="0"/>
          <w:sz w:val="30"/>
          <w:szCs w:val="30"/>
          <w:highlight w:val="none"/>
        </w:rPr>
        <w:tab/>
      </w: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PAGEREF _Toc4280 \h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rPr>
        <w:t>15</w:t>
      </w:r>
      <w:r>
        <w:rPr>
          <w:rFonts w:hint="eastAsia" w:ascii="宋体" w:hAnsi="宋体" w:eastAsia="宋体" w:cs="宋体"/>
          <w:color w:val="auto"/>
          <w:kern w:val="0"/>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HYPERLINK \l _Toc29379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lang w:val="en-US" w:eastAsia="zh-CN"/>
        </w:rPr>
        <w:t>4.5防御响应结束</w:t>
      </w:r>
      <w:r>
        <w:rPr>
          <w:rFonts w:hint="eastAsia" w:ascii="宋体" w:hAnsi="宋体" w:eastAsia="宋体" w:cs="宋体"/>
          <w:color w:val="auto"/>
          <w:kern w:val="0"/>
          <w:sz w:val="30"/>
          <w:szCs w:val="30"/>
          <w:highlight w:val="none"/>
        </w:rPr>
        <w:tab/>
      </w: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PAGEREF _Toc29379 \h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rPr>
        <w:t>17</w:t>
      </w:r>
      <w:r>
        <w:rPr>
          <w:rFonts w:hint="eastAsia" w:ascii="宋体" w:hAnsi="宋体" w:eastAsia="宋体" w:cs="宋体"/>
          <w:color w:val="auto"/>
          <w:kern w:val="0"/>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HYPERLINK \l _Toc8760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lang w:val="en-US" w:eastAsia="zh-CN"/>
        </w:rPr>
        <w:t>4.6信息报告</w:t>
      </w:r>
      <w:r>
        <w:rPr>
          <w:rFonts w:hint="eastAsia" w:ascii="宋体" w:hAnsi="宋体" w:eastAsia="宋体" w:cs="宋体"/>
          <w:color w:val="auto"/>
          <w:kern w:val="0"/>
          <w:sz w:val="30"/>
          <w:szCs w:val="30"/>
          <w:highlight w:val="none"/>
        </w:rPr>
        <w:tab/>
      </w:r>
      <w:r>
        <w:rPr>
          <w:rFonts w:hint="eastAsia" w:ascii="宋体" w:hAnsi="宋体" w:eastAsia="宋体" w:cs="宋体"/>
          <w:color w:val="auto"/>
          <w:kern w:val="0"/>
          <w:sz w:val="30"/>
          <w:szCs w:val="30"/>
          <w:highlight w:val="none"/>
        </w:rPr>
        <w:fldChar w:fldCharType="begin"/>
      </w:r>
      <w:r>
        <w:rPr>
          <w:rFonts w:hint="eastAsia" w:ascii="宋体" w:hAnsi="宋体" w:eastAsia="宋体" w:cs="宋体"/>
          <w:color w:val="auto"/>
          <w:kern w:val="0"/>
          <w:sz w:val="30"/>
          <w:szCs w:val="30"/>
          <w:highlight w:val="none"/>
        </w:rPr>
        <w:instrText xml:space="preserve"> PAGEREF _Toc8760 \h </w:instrText>
      </w:r>
      <w:r>
        <w:rPr>
          <w:rFonts w:hint="eastAsia" w:ascii="宋体" w:hAnsi="宋体" w:eastAsia="宋体" w:cs="宋体"/>
          <w:color w:val="auto"/>
          <w:kern w:val="0"/>
          <w:sz w:val="30"/>
          <w:szCs w:val="30"/>
          <w:highlight w:val="none"/>
        </w:rPr>
        <w:fldChar w:fldCharType="separate"/>
      </w:r>
      <w:r>
        <w:rPr>
          <w:rFonts w:hint="eastAsia" w:ascii="宋体" w:hAnsi="宋体" w:eastAsia="宋体" w:cs="宋体"/>
          <w:color w:val="auto"/>
          <w:kern w:val="0"/>
          <w:sz w:val="30"/>
          <w:szCs w:val="30"/>
          <w:highlight w:val="none"/>
        </w:rPr>
        <w:t>17</w:t>
      </w:r>
      <w:r>
        <w:rPr>
          <w:rFonts w:hint="eastAsia" w:ascii="宋体" w:hAnsi="宋体" w:eastAsia="宋体" w:cs="宋体"/>
          <w:color w:val="auto"/>
          <w:kern w:val="0"/>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rPr>
          <w:rFonts w:hint="eastAsia" w:ascii="宋体" w:hAnsi="宋体" w:eastAsia="宋体" w:cs="宋体"/>
          <w:b/>
          <w:bCs/>
          <w:color w:val="auto"/>
          <w:kern w:val="0"/>
          <w:sz w:val="30"/>
          <w:szCs w:val="30"/>
          <w:highlight w:val="none"/>
          <w:lang w:val="en-US" w:eastAsia="zh-CN"/>
        </w:rPr>
      </w:pP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HYPERLINK \l _Toc24575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lang w:val="en-US" w:eastAsia="zh-CN"/>
        </w:rPr>
        <w:t>5.</w:t>
      </w:r>
      <w:r>
        <w:rPr>
          <w:rFonts w:hint="eastAsia" w:ascii="宋体" w:hAnsi="宋体" w:eastAsia="宋体" w:cs="宋体"/>
          <w:b/>
          <w:bCs/>
          <w:color w:val="auto"/>
          <w:kern w:val="0"/>
          <w:sz w:val="30"/>
          <w:szCs w:val="30"/>
          <w:highlight w:val="none"/>
          <w:lang w:val="zh-CN" w:eastAsia="zh-CN"/>
        </w:rPr>
        <w:t>应急响应</w:t>
      </w:r>
      <w:r>
        <w:rPr>
          <w:rFonts w:hint="eastAsia" w:ascii="宋体" w:hAnsi="宋体" w:eastAsia="宋体" w:cs="宋体"/>
          <w:b/>
          <w:bCs/>
          <w:color w:val="auto"/>
          <w:kern w:val="0"/>
          <w:sz w:val="30"/>
          <w:szCs w:val="30"/>
          <w:highlight w:val="none"/>
        </w:rPr>
        <w:tab/>
      </w:r>
      <w:r>
        <w:rPr>
          <w:rFonts w:hint="eastAsia" w:ascii="宋体" w:hAnsi="宋体" w:cs="宋体"/>
          <w:b/>
          <w:bCs/>
          <w:color w:val="auto"/>
          <w:kern w:val="0"/>
          <w:sz w:val="30"/>
          <w:szCs w:val="30"/>
          <w:highlight w:val="none"/>
          <w:lang w:val="en-US" w:eastAsia="zh-CN"/>
        </w:rPr>
        <w:t>1</w:t>
      </w:r>
      <w:r>
        <w:rPr>
          <w:rFonts w:hint="eastAsia" w:ascii="宋体" w:hAnsi="宋体" w:eastAsia="宋体" w:cs="宋体"/>
          <w:b/>
          <w:bCs/>
          <w:color w:val="auto"/>
          <w:kern w:val="0"/>
          <w:sz w:val="30"/>
          <w:szCs w:val="30"/>
          <w:highlight w:val="none"/>
        </w:rPr>
        <w:fldChar w:fldCharType="end"/>
      </w:r>
      <w:r>
        <w:rPr>
          <w:rFonts w:hint="eastAsia" w:ascii="宋体" w:hAnsi="宋体" w:cs="宋体"/>
          <w:b/>
          <w:bCs/>
          <w:color w:val="auto"/>
          <w:kern w:val="0"/>
          <w:sz w:val="30"/>
          <w:szCs w:val="30"/>
          <w:highlight w:val="none"/>
          <w:lang w:val="en-US" w:eastAsia="zh-CN"/>
        </w:rPr>
        <w:t>7</w:t>
      </w:r>
    </w:p>
    <w:p>
      <w:pPr>
        <w:pStyle w:val="8"/>
        <w:tabs>
          <w:tab w:val="right" w:leader="dot" w:pos="8306"/>
        </w:tabs>
        <w:rPr>
          <w:rFonts w:hint="eastAsia" w:ascii="宋体" w:hAnsi="宋体" w:eastAsia="宋体" w:cs="宋体"/>
          <w:sz w:val="30"/>
          <w:szCs w:val="30"/>
          <w:highlight w:val="none"/>
          <w:lang w:val="en-US" w:eastAsia="zh-CN"/>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_Toc20452 </w:instrText>
      </w:r>
      <w:r>
        <w:rPr>
          <w:rFonts w:hint="eastAsia" w:ascii="宋体" w:hAnsi="宋体" w:eastAsia="宋体" w:cs="宋体"/>
          <w:kern w:val="0"/>
          <w:sz w:val="30"/>
          <w:szCs w:val="30"/>
          <w:highlight w:val="none"/>
        </w:rPr>
        <w:fldChar w:fldCharType="separate"/>
      </w:r>
      <w:r>
        <w:rPr>
          <w:rFonts w:hint="eastAsia" w:ascii="宋体" w:hAnsi="宋体" w:eastAsia="宋体" w:cs="宋体"/>
          <w:bCs w:val="0"/>
          <w:sz w:val="30"/>
          <w:szCs w:val="30"/>
          <w:highlight w:val="none"/>
          <w:lang w:val="en-US" w:eastAsia="zh-CN"/>
        </w:rPr>
        <w:t>5.1先期处置</w:t>
      </w:r>
      <w:r>
        <w:rPr>
          <w:rFonts w:hint="eastAsia" w:ascii="宋体" w:hAnsi="宋体" w:eastAsia="宋体" w:cs="宋体"/>
          <w:sz w:val="30"/>
          <w:szCs w:val="30"/>
          <w:highlight w:val="none"/>
        </w:rPr>
        <w:tab/>
      </w:r>
      <w:r>
        <w:rPr>
          <w:rFonts w:hint="eastAsia" w:ascii="宋体" w:hAnsi="宋体" w:cs="宋体"/>
          <w:sz w:val="30"/>
          <w:szCs w:val="30"/>
          <w:highlight w:val="none"/>
          <w:lang w:val="en-US" w:eastAsia="zh-CN"/>
        </w:rPr>
        <w:t>1</w:t>
      </w:r>
      <w:r>
        <w:rPr>
          <w:rFonts w:hint="eastAsia" w:ascii="宋体" w:hAnsi="宋体" w:eastAsia="宋体" w:cs="宋体"/>
          <w:color w:val="auto"/>
          <w:kern w:val="0"/>
          <w:sz w:val="30"/>
          <w:szCs w:val="30"/>
          <w:highlight w:val="none"/>
        </w:rPr>
        <w:fldChar w:fldCharType="end"/>
      </w:r>
      <w:r>
        <w:rPr>
          <w:rFonts w:hint="eastAsia" w:ascii="宋体" w:hAnsi="宋体" w:cs="宋体"/>
          <w:color w:val="auto"/>
          <w:kern w:val="0"/>
          <w:sz w:val="30"/>
          <w:szCs w:val="30"/>
          <w:highlight w:val="none"/>
          <w:lang w:val="en-US" w:eastAsia="zh-CN"/>
        </w:rPr>
        <w:t>7</w:t>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_Toc7034 </w:instrText>
      </w:r>
      <w:r>
        <w:rPr>
          <w:rFonts w:hint="eastAsia" w:ascii="宋体" w:hAnsi="宋体" w:eastAsia="宋体" w:cs="宋体"/>
          <w:kern w:val="0"/>
          <w:sz w:val="30"/>
          <w:szCs w:val="30"/>
          <w:highlight w:val="none"/>
        </w:rPr>
        <w:fldChar w:fldCharType="separate"/>
      </w:r>
      <w:r>
        <w:rPr>
          <w:rFonts w:hint="eastAsia" w:ascii="宋体" w:hAnsi="宋体" w:eastAsia="宋体" w:cs="宋体"/>
          <w:bCs w:val="0"/>
          <w:sz w:val="30"/>
          <w:szCs w:val="30"/>
          <w:highlight w:val="none"/>
          <w:lang w:val="en-US" w:eastAsia="zh-CN"/>
        </w:rPr>
        <w:t>5.2分级响应</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_Toc7034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18</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_Toc25113 </w:instrText>
      </w:r>
      <w:r>
        <w:rPr>
          <w:rFonts w:hint="eastAsia" w:ascii="宋体" w:hAnsi="宋体" w:eastAsia="宋体" w:cs="宋体"/>
          <w:kern w:val="0"/>
          <w:sz w:val="30"/>
          <w:szCs w:val="30"/>
          <w:highlight w:val="none"/>
        </w:rPr>
        <w:fldChar w:fldCharType="separate"/>
      </w:r>
      <w:r>
        <w:rPr>
          <w:rFonts w:hint="eastAsia" w:ascii="宋体" w:hAnsi="宋体" w:eastAsia="宋体" w:cs="宋体"/>
          <w:bCs w:val="0"/>
          <w:sz w:val="30"/>
          <w:szCs w:val="30"/>
          <w:highlight w:val="none"/>
          <w:lang w:val="en-US" w:eastAsia="zh-CN"/>
        </w:rPr>
        <w:t>5</w:t>
      </w:r>
      <w:r>
        <w:rPr>
          <w:rFonts w:hint="eastAsia" w:ascii="宋体" w:hAnsi="宋体" w:eastAsia="宋体" w:cs="宋体"/>
          <w:bCs w:val="0"/>
          <w:sz w:val="30"/>
          <w:szCs w:val="30"/>
          <w:highlight w:val="none"/>
          <w:lang w:val="zh-CN" w:eastAsia="zh-CN"/>
        </w:rPr>
        <w:t>.</w:t>
      </w:r>
      <w:r>
        <w:rPr>
          <w:rFonts w:hint="eastAsia" w:ascii="宋体" w:hAnsi="宋体" w:eastAsia="宋体" w:cs="宋体"/>
          <w:bCs w:val="0"/>
          <w:sz w:val="30"/>
          <w:szCs w:val="30"/>
          <w:highlight w:val="none"/>
          <w:lang w:val="en-US" w:eastAsia="zh-CN"/>
        </w:rPr>
        <w:t>3</w:t>
      </w:r>
      <w:r>
        <w:rPr>
          <w:rFonts w:hint="eastAsia" w:ascii="宋体" w:hAnsi="宋体" w:eastAsia="宋体" w:cs="宋体"/>
          <w:bCs w:val="0"/>
          <w:sz w:val="30"/>
          <w:szCs w:val="30"/>
          <w:highlight w:val="none"/>
          <w:lang w:val="zh-CN" w:eastAsia="zh-CN"/>
        </w:rPr>
        <w:t>分类处置</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_Toc25113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25</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_Toc26905 </w:instrText>
      </w:r>
      <w:r>
        <w:rPr>
          <w:rFonts w:hint="eastAsia" w:ascii="宋体" w:hAnsi="宋体" w:eastAsia="宋体" w:cs="宋体"/>
          <w:kern w:val="0"/>
          <w:sz w:val="30"/>
          <w:szCs w:val="30"/>
          <w:highlight w:val="none"/>
        </w:rPr>
        <w:fldChar w:fldCharType="separate"/>
      </w:r>
      <w:r>
        <w:rPr>
          <w:rFonts w:hint="eastAsia" w:ascii="宋体" w:hAnsi="宋体" w:eastAsia="宋体" w:cs="宋体"/>
          <w:bCs/>
          <w:sz w:val="30"/>
          <w:szCs w:val="30"/>
          <w:highlight w:val="none"/>
          <w:lang w:val="en-US" w:eastAsia="zh-CN"/>
        </w:rPr>
        <w:t>5</w:t>
      </w:r>
      <w:r>
        <w:rPr>
          <w:rFonts w:hint="eastAsia" w:ascii="宋体" w:hAnsi="宋体" w:eastAsia="宋体" w:cs="宋体"/>
          <w:bCs/>
          <w:sz w:val="30"/>
          <w:szCs w:val="30"/>
          <w:highlight w:val="none"/>
          <w:lang w:val="zh-CN" w:eastAsia="zh-CN"/>
        </w:rPr>
        <w:t>.</w:t>
      </w:r>
      <w:r>
        <w:rPr>
          <w:rFonts w:hint="eastAsia" w:ascii="宋体" w:hAnsi="宋体" w:eastAsia="宋体" w:cs="宋体"/>
          <w:bCs/>
          <w:sz w:val="30"/>
          <w:szCs w:val="30"/>
          <w:highlight w:val="none"/>
          <w:lang w:val="en-US" w:eastAsia="zh-CN"/>
        </w:rPr>
        <w:t>4</w:t>
      </w:r>
      <w:r>
        <w:rPr>
          <w:rFonts w:hint="eastAsia" w:ascii="宋体" w:hAnsi="宋体" w:eastAsia="宋体" w:cs="宋体"/>
          <w:bCs/>
          <w:sz w:val="30"/>
          <w:szCs w:val="30"/>
          <w:highlight w:val="none"/>
          <w:lang w:val="zh-CN" w:eastAsia="zh-CN"/>
        </w:rPr>
        <w:t>应急人员安全防护</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_Toc26905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29</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lang w:val="en-US" w:eastAsia="zh-CN"/>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_Toc18841 </w:instrText>
      </w:r>
      <w:r>
        <w:rPr>
          <w:rFonts w:hint="eastAsia" w:ascii="宋体" w:hAnsi="宋体" w:eastAsia="宋体" w:cs="宋体"/>
          <w:kern w:val="0"/>
          <w:sz w:val="30"/>
          <w:szCs w:val="30"/>
          <w:highlight w:val="none"/>
        </w:rPr>
        <w:fldChar w:fldCharType="separate"/>
      </w:r>
      <w:r>
        <w:rPr>
          <w:rFonts w:hint="eastAsia" w:ascii="宋体" w:hAnsi="宋体" w:eastAsia="宋体" w:cs="宋体"/>
          <w:bCs/>
          <w:sz w:val="30"/>
          <w:szCs w:val="30"/>
          <w:highlight w:val="none"/>
          <w:lang w:val="en-US" w:eastAsia="zh-CN"/>
        </w:rPr>
        <w:t>5</w:t>
      </w:r>
      <w:r>
        <w:rPr>
          <w:rFonts w:hint="eastAsia" w:ascii="宋体" w:hAnsi="宋体" w:eastAsia="宋体" w:cs="宋体"/>
          <w:bCs/>
          <w:sz w:val="30"/>
          <w:szCs w:val="30"/>
          <w:highlight w:val="none"/>
          <w:lang w:val="zh-CN" w:eastAsia="zh-CN"/>
        </w:rPr>
        <w:t>.</w:t>
      </w:r>
      <w:r>
        <w:rPr>
          <w:rFonts w:hint="eastAsia" w:ascii="宋体" w:hAnsi="宋体" w:eastAsia="宋体" w:cs="宋体"/>
          <w:bCs/>
          <w:sz w:val="30"/>
          <w:szCs w:val="30"/>
          <w:highlight w:val="none"/>
          <w:lang w:val="en-US" w:eastAsia="zh-CN"/>
        </w:rPr>
        <w:t>5</w:t>
      </w:r>
      <w:r>
        <w:rPr>
          <w:rFonts w:hint="eastAsia" w:ascii="宋体" w:hAnsi="宋体" w:eastAsia="宋体" w:cs="宋体"/>
          <w:bCs/>
          <w:sz w:val="30"/>
          <w:szCs w:val="30"/>
          <w:highlight w:val="none"/>
          <w:lang w:val="zh-CN" w:eastAsia="zh-CN"/>
        </w:rPr>
        <w:t>应急结束</w:t>
      </w:r>
      <w:r>
        <w:rPr>
          <w:rFonts w:hint="eastAsia" w:ascii="宋体" w:hAnsi="宋体" w:eastAsia="宋体" w:cs="宋体"/>
          <w:sz w:val="30"/>
          <w:szCs w:val="30"/>
          <w:highlight w:val="none"/>
        </w:rPr>
        <w:tab/>
      </w:r>
      <w:r>
        <w:rPr>
          <w:rFonts w:hint="eastAsia" w:ascii="宋体" w:hAnsi="宋体" w:cs="宋体"/>
          <w:sz w:val="30"/>
          <w:szCs w:val="30"/>
          <w:highlight w:val="none"/>
          <w:lang w:val="en-US" w:eastAsia="zh-CN"/>
        </w:rPr>
        <w:t>2</w:t>
      </w:r>
      <w:r>
        <w:rPr>
          <w:rFonts w:hint="eastAsia" w:ascii="宋体" w:hAnsi="宋体" w:eastAsia="宋体" w:cs="宋体"/>
          <w:color w:val="auto"/>
          <w:kern w:val="0"/>
          <w:sz w:val="30"/>
          <w:szCs w:val="30"/>
          <w:highlight w:val="none"/>
        </w:rPr>
        <w:fldChar w:fldCharType="end"/>
      </w:r>
      <w:r>
        <w:rPr>
          <w:rFonts w:hint="eastAsia" w:ascii="宋体" w:hAnsi="宋体" w:cs="宋体"/>
          <w:color w:val="auto"/>
          <w:kern w:val="0"/>
          <w:sz w:val="30"/>
          <w:szCs w:val="30"/>
          <w:highlight w:val="none"/>
          <w:lang w:val="en-US" w:eastAsia="zh-CN"/>
        </w:rPr>
        <w:t>9</w:t>
      </w:r>
    </w:p>
    <w:p>
      <w:pPr>
        <w:pStyle w:val="7"/>
        <w:tabs>
          <w:tab w:val="right" w:leader="dot" w:pos="8306"/>
        </w:tabs>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HYPERLINK \l _Toc26470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lang w:val="en-US" w:eastAsia="zh-CN"/>
        </w:rPr>
        <w:t>6后期处置</w:t>
      </w:r>
      <w:r>
        <w:rPr>
          <w:rFonts w:hint="eastAsia" w:ascii="宋体" w:hAnsi="宋体" w:eastAsia="宋体" w:cs="宋体"/>
          <w:b/>
          <w:bCs/>
          <w:color w:val="auto"/>
          <w:kern w:val="0"/>
          <w:sz w:val="30"/>
          <w:szCs w:val="30"/>
          <w:highlight w:val="none"/>
        </w:rPr>
        <w:tab/>
      </w: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PAGEREF _Toc26470 \h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rPr>
        <w:t>30</w:t>
      </w:r>
      <w:r>
        <w:rPr>
          <w:rFonts w:hint="eastAsia" w:ascii="宋体" w:hAnsi="宋体" w:eastAsia="宋体" w:cs="宋体"/>
          <w:b/>
          <w:bCs/>
          <w:color w:val="auto"/>
          <w:kern w:val="0"/>
          <w:sz w:val="30"/>
          <w:szCs w:val="30"/>
          <w:highlight w:val="none"/>
        </w:rPr>
        <w:fldChar w:fldCharType="end"/>
      </w:r>
      <w:r>
        <w:rPr>
          <w:rFonts w:hint="eastAsia" w:ascii="宋体" w:hAnsi="宋体" w:eastAsia="宋体" w:cs="宋体"/>
          <w:b/>
          <w:bCs/>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_Toc20050 </w:instrText>
      </w:r>
      <w:r>
        <w:rPr>
          <w:rFonts w:hint="eastAsia" w:ascii="宋体" w:hAnsi="宋体" w:eastAsia="宋体" w:cs="宋体"/>
          <w:kern w:val="0"/>
          <w:sz w:val="30"/>
          <w:szCs w:val="30"/>
          <w:highlight w:val="none"/>
        </w:rPr>
        <w:fldChar w:fldCharType="separate"/>
      </w:r>
      <w:r>
        <w:rPr>
          <w:rFonts w:hint="eastAsia" w:ascii="宋体" w:hAnsi="宋体" w:eastAsia="宋体" w:cs="宋体"/>
          <w:bCs/>
          <w:sz w:val="30"/>
          <w:szCs w:val="30"/>
          <w:highlight w:val="none"/>
          <w:lang w:val="en-US" w:eastAsia="zh-CN"/>
        </w:rPr>
        <w:t>6.1善后处置</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_Toc20050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30</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_Toc1843 </w:instrText>
      </w:r>
      <w:r>
        <w:rPr>
          <w:rFonts w:hint="eastAsia" w:ascii="宋体" w:hAnsi="宋体" w:eastAsia="宋体" w:cs="宋体"/>
          <w:kern w:val="0"/>
          <w:sz w:val="30"/>
          <w:szCs w:val="30"/>
          <w:highlight w:val="none"/>
        </w:rPr>
        <w:fldChar w:fldCharType="separate"/>
      </w:r>
      <w:r>
        <w:rPr>
          <w:rFonts w:hint="eastAsia" w:ascii="宋体" w:hAnsi="宋体" w:eastAsia="宋体" w:cs="宋体"/>
          <w:bCs/>
          <w:sz w:val="30"/>
          <w:szCs w:val="30"/>
          <w:highlight w:val="none"/>
          <w:lang w:val="en-US" w:eastAsia="zh-CN"/>
        </w:rPr>
        <w:t>6.2</w:t>
      </w:r>
      <w:r>
        <w:rPr>
          <w:rFonts w:hint="eastAsia" w:ascii="宋体" w:hAnsi="宋体" w:eastAsia="宋体" w:cs="宋体"/>
          <w:bCs/>
          <w:sz w:val="30"/>
          <w:szCs w:val="30"/>
          <w:highlight w:val="none"/>
          <w:lang w:val="zh-CN" w:eastAsia="zh-CN"/>
        </w:rPr>
        <w:t>评估</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_Toc1843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30</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_Toc15127 </w:instrText>
      </w:r>
      <w:r>
        <w:rPr>
          <w:rFonts w:hint="eastAsia" w:ascii="宋体" w:hAnsi="宋体" w:eastAsia="宋体" w:cs="宋体"/>
          <w:kern w:val="0"/>
          <w:sz w:val="30"/>
          <w:szCs w:val="30"/>
          <w:highlight w:val="none"/>
        </w:rPr>
        <w:fldChar w:fldCharType="separate"/>
      </w:r>
      <w:r>
        <w:rPr>
          <w:rFonts w:hint="eastAsia" w:ascii="宋体" w:hAnsi="宋体" w:eastAsia="宋体" w:cs="宋体"/>
          <w:bCs/>
          <w:sz w:val="30"/>
          <w:szCs w:val="30"/>
          <w:highlight w:val="none"/>
          <w:lang w:val="en-US" w:eastAsia="zh-CN"/>
        </w:rPr>
        <w:t>6.3补偿</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_Toc15127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31</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_Toc28374 </w:instrText>
      </w:r>
      <w:r>
        <w:rPr>
          <w:rFonts w:hint="eastAsia" w:ascii="宋体" w:hAnsi="宋体" w:eastAsia="宋体" w:cs="宋体"/>
          <w:kern w:val="0"/>
          <w:sz w:val="30"/>
          <w:szCs w:val="30"/>
          <w:highlight w:val="none"/>
        </w:rPr>
        <w:fldChar w:fldCharType="separate"/>
      </w:r>
      <w:r>
        <w:rPr>
          <w:rFonts w:hint="eastAsia" w:ascii="宋体" w:hAnsi="宋体" w:eastAsia="宋体" w:cs="宋体"/>
          <w:bCs/>
          <w:kern w:val="44"/>
          <w:sz w:val="30"/>
          <w:szCs w:val="30"/>
          <w:highlight w:val="none"/>
          <w:lang w:val="en-US" w:eastAsia="zh-CN" w:bidi="ar"/>
        </w:rPr>
        <w:t>6.4恢复与重建</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_Toc28374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32</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HYPERLINK \l _Toc6208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lang w:val="en-US" w:eastAsia="zh-CN"/>
        </w:rPr>
        <w:t>7</w:t>
      </w:r>
      <w:r>
        <w:rPr>
          <w:rFonts w:hint="eastAsia" w:ascii="宋体" w:hAnsi="宋体" w:eastAsia="宋体" w:cs="宋体"/>
          <w:b/>
          <w:bCs/>
          <w:color w:val="auto"/>
          <w:kern w:val="0"/>
          <w:sz w:val="30"/>
          <w:szCs w:val="30"/>
          <w:highlight w:val="none"/>
          <w:lang w:val="zh-CN" w:eastAsia="zh-CN"/>
        </w:rPr>
        <w:t>保障措施</w:t>
      </w:r>
      <w:r>
        <w:rPr>
          <w:rFonts w:hint="eastAsia" w:ascii="宋体" w:hAnsi="宋体" w:eastAsia="宋体" w:cs="宋体"/>
          <w:b/>
          <w:bCs/>
          <w:color w:val="auto"/>
          <w:kern w:val="0"/>
          <w:sz w:val="30"/>
          <w:szCs w:val="30"/>
          <w:highlight w:val="none"/>
        </w:rPr>
        <w:tab/>
      </w: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PAGEREF _Toc6208 \h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rPr>
        <w:t>32</w:t>
      </w:r>
      <w:r>
        <w:rPr>
          <w:rFonts w:hint="eastAsia" w:ascii="宋体" w:hAnsi="宋体" w:eastAsia="宋体" w:cs="宋体"/>
          <w:b/>
          <w:bCs/>
          <w:color w:val="auto"/>
          <w:kern w:val="0"/>
          <w:sz w:val="30"/>
          <w:szCs w:val="30"/>
          <w:highlight w:val="none"/>
        </w:rPr>
        <w:fldChar w:fldCharType="end"/>
      </w:r>
      <w:r>
        <w:rPr>
          <w:rFonts w:hint="eastAsia" w:ascii="宋体" w:hAnsi="宋体" w:eastAsia="宋体" w:cs="宋体"/>
          <w:b/>
          <w:bCs/>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_Toc28254 </w:instrText>
      </w:r>
      <w:r>
        <w:rPr>
          <w:rFonts w:hint="eastAsia" w:ascii="宋体" w:hAnsi="宋体" w:eastAsia="宋体" w:cs="宋体"/>
          <w:kern w:val="0"/>
          <w:sz w:val="30"/>
          <w:szCs w:val="30"/>
          <w:highlight w:val="none"/>
        </w:rPr>
        <w:fldChar w:fldCharType="separate"/>
      </w:r>
      <w:r>
        <w:rPr>
          <w:rFonts w:hint="eastAsia" w:ascii="宋体" w:hAnsi="宋体" w:eastAsia="宋体" w:cs="宋体"/>
          <w:bCs/>
          <w:kern w:val="44"/>
          <w:sz w:val="30"/>
          <w:szCs w:val="30"/>
          <w:highlight w:val="none"/>
          <w:lang w:val="en-US" w:eastAsia="zh-CN" w:bidi="ar"/>
        </w:rPr>
        <w:t>7.1应急队伍</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_Toc28254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32</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_Toc17823 </w:instrText>
      </w:r>
      <w:r>
        <w:rPr>
          <w:rFonts w:hint="eastAsia" w:ascii="宋体" w:hAnsi="宋体" w:eastAsia="宋体" w:cs="宋体"/>
          <w:kern w:val="0"/>
          <w:sz w:val="30"/>
          <w:szCs w:val="30"/>
          <w:highlight w:val="none"/>
        </w:rPr>
        <w:fldChar w:fldCharType="separate"/>
      </w:r>
      <w:r>
        <w:rPr>
          <w:rFonts w:hint="eastAsia" w:ascii="宋体" w:hAnsi="宋体" w:eastAsia="宋体" w:cs="宋体"/>
          <w:bCs/>
          <w:kern w:val="44"/>
          <w:sz w:val="30"/>
          <w:szCs w:val="30"/>
          <w:highlight w:val="none"/>
          <w:lang w:val="en-US" w:eastAsia="zh-CN" w:bidi="ar"/>
        </w:rPr>
        <w:t>7.2物资设备保障</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_Toc17823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33</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_Toc251 </w:instrText>
      </w:r>
      <w:r>
        <w:rPr>
          <w:rFonts w:hint="eastAsia" w:ascii="宋体" w:hAnsi="宋体" w:eastAsia="宋体" w:cs="宋体"/>
          <w:kern w:val="0"/>
          <w:sz w:val="30"/>
          <w:szCs w:val="30"/>
          <w:highlight w:val="none"/>
        </w:rPr>
        <w:fldChar w:fldCharType="separate"/>
      </w:r>
      <w:r>
        <w:rPr>
          <w:rFonts w:hint="eastAsia" w:ascii="宋体" w:hAnsi="宋体" w:eastAsia="宋体" w:cs="宋体"/>
          <w:bCs/>
          <w:kern w:val="44"/>
          <w:sz w:val="30"/>
          <w:szCs w:val="30"/>
          <w:highlight w:val="none"/>
          <w:lang w:val="en-US" w:eastAsia="zh-CN" w:bidi="ar"/>
        </w:rPr>
        <w:t>7.3通信与信息保障</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_Toc251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34</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_Toc17536 </w:instrText>
      </w:r>
      <w:r>
        <w:rPr>
          <w:rFonts w:hint="eastAsia" w:ascii="宋体" w:hAnsi="宋体" w:eastAsia="宋体" w:cs="宋体"/>
          <w:kern w:val="0"/>
          <w:sz w:val="30"/>
          <w:szCs w:val="30"/>
          <w:highlight w:val="none"/>
        </w:rPr>
        <w:fldChar w:fldCharType="separate"/>
      </w:r>
      <w:r>
        <w:rPr>
          <w:rFonts w:hint="eastAsia" w:ascii="宋体" w:hAnsi="宋体" w:eastAsia="宋体" w:cs="宋体"/>
          <w:bCs/>
          <w:kern w:val="44"/>
          <w:sz w:val="30"/>
          <w:szCs w:val="30"/>
          <w:highlight w:val="none"/>
          <w:lang w:val="en-US" w:eastAsia="zh-CN" w:bidi="ar"/>
        </w:rPr>
        <w:t>7.4技术支撑</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_Toc17536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35</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_Toc25232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7.5资金保障</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_Toc25232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35</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rPr>
          <w:rFonts w:hint="eastAsia" w:ascii="宋体" w:hAnsi="宋体" w:eastAsia="宋体" w:cs="宋体"/>
          <w:sz w:val="30"/>
          <w:szCs w:val="30"/>
          <w:highlight w:val="none"/>
        </w:rPr>
      </w:pP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HYPERLINK \l _Toc574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lang w:val="en-US" w:eastAsia="zh-CN"/>
        </w:rPr>
        <w:t>8.</w:t>
      </w:r>
      <w:r>
        <w:rPr>
          <w:rFonts w:hint="eastAsia" w:ascii="宋体" w:hAnsi="宋体" w:eastAsia="宋体" w:cs="宋体"/>
          <w:b/>
          <w:bCs/>
          <w:color w:val="auto"/>
          <w:kern w:val="0"/>
          <w:sz w:val="30"/>
          <w:szCs w:val="30"/>
          <w:highlight w:val="none"/>
          <w:lang w:val="zh-CN" w:eastAsia="zh-CN"/>
        </w:rPr>
        <w:t>附则</w:t>
      </w:r>
      <w:r>
        <w:rPr>
          <w:rFonts w:hint="eastAsia" w:ascii="宋体" w:hAnsi="宋体" w:eastAsia="宋体" w:cs="宋体"/>
          <w:b/>
          <w:bCs/>
          <w:color w:val="auto"/>
          <w:kern w:val="0"/>
          <w:sz w:val="30"/>
          <w:szCs w:val="30"/>
          <w:highlight w:val="none"/>
        </w:rPr>
        <w:tab/>
      </w: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PAGEREF _Toc574 \h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rPr>
        <w:t>35</w:t>
      </w:r>
      <w:r>
        <w:rPr>
          <w:rFonts w:hint="eastAsia" w:ascii="宋体" w:hAnsi="宋体" w:eastAsia="宋体" w:cs="宋体"/>
          <w:b/>
          <w:bCs/>
          <w:color w:val="auto"/>
          <w:kern w:val="0"/>
          <w:sz w:val="30"/>
          <w:szCs w:val="30"/>
          <w:highlight w:val="none"/>
        </w:rPr>
        <w:fldChar w:fldCharType="end"/>
      </w:r>
      <w:r>
        <w:rPr>
          <w:rFonts w:hint="eastAsia" w:ascii="宋体" w:hAnsi="宋体" w:eastAsia="宋体" w:cs="宋体"/>
          <w:b/>
          <w:bCs/>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_Toc31072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8</w:t>
      </w:r>
      <w:r>
        <w:rPr>
          <w:rFonts w:hint="eastAsia" w:ascii="宋体" w:hAnsi="宋体" w:eastAsia="宋体" w:cs="宋体"/>
          <w:kern w:val="0"/>
          <w:sz w:val="30"/>
          <w:szCs w:val="30"/>
          <w:highlight w:val="none"/>
          <w:lang w:val="zh-CN" w:eastAsia="zh-CN"/>
        </w:rPr>
        <w:t>.</w:t>
      </w:r>
      <w:r>
        <w:rPr>
          <w:rFonts w:hint="eastAsia" w:ascii="宋体" w:hAnsi="宋体" w:eastAsia="宋体" w:cs="宋体"/>
          <w:kern w:val="0"/>
          <w:sz w:val="30"/>
          <w:szCs w:val="30"/>
          <w:highlight w:val="none"/>
          <w:lang w:val="en-US" w:eastAsia="zh-CN"/>
        </w:rPr>
        <w:t>1</w:t>
      </w:r>
      <w:r>
        <w:rPr>
          <w:rFonts w:hint="eastAsia" w:ascii="宋体" w:hAnsi="宋体" w:eastAsia="宋体" w:cs="宋体"/>
          <w:kern w:val="0"/>
          <w:sz w:val="30"/>
          <w:szCs w:val="30"/>
          <w:highlight w:val="none"/>
          <w:lang w:val="zh-CN" w:eastAsia="zh-CN"/>
        </w:rPr>
        <w:t>制定与解释</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_Toc31072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35</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ind w:firstLine="300" w:firstLineChars="100"/>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_Toc38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8</w:t>
      </w:r>
      <w:r>
        <w:rPr>
          <w:rFonts w:hint="eastAsia" w:ascii="宋体" w:hAnsi="宋体" w:eastAsia="宋体" w:cs="宋体"/>
          <w:kern w:val="0"/>
          <w:sz w:val="30"/>
          <w:szCs w:val="30"/>
          <w:highlight w:val="none"/>
          <w:lang w:val="zh-CN" w:eastAsia="zh-CN"/>
        </w:rPr>
        <w:t>.</w:t>
      </w:r>
      <w:r>
        <w:rPr>
          <w:rFonts w:hint="eastAsia" w:ascii="宋体" w:hAnsi="宋体" w:eastAsia="宋体" w:cs="宋体"/>
          <w:kern w:val="0"/>
          <w:sz w:val="30"/>
          <w:szCs w:val="30"/>
          <w:highlight w:val="none"/>
          <w:lang w:val="en-US" w:eastAsia="zh-CN"/>
        </w:rPr>
        <w:t>2</w:t>
      </w:r>
      <w:r>
        <w:rPr>
          <w:rFonts w:hint="eastAsia" w:ascii="宋体" w:hAnsi="宋体" w:eastAsia="宋体" w:cs="宋体"/>
          <w:kern w:val="0"/>
          <w:sz w:val="30"/>
          <w:szCs w:val="30"/>
          <w:highlight w:val="none"/>
          <w:lang w:val="zh-CN" w:eastAsia="zh-CN"/>
        </w:rPr>
        <w:t>预案施行及有效期</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_Toc38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35</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7"/>
        <w:tabs>
          <w:tab w:val="right" w:leader="dot" w:pos="8306"/>
        </w:tabs>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HYPERLINK \l _Toc6977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lang w:val="en-US" w:eastAsia="zh-CN"/>
        </w:rPr>
        <w:t>9.</w:t>
      </w:r>
      <w:r>
        <w:rPr>
          <w:rFonts w:hint="eastAsia" w:ascii="宋体" w:hAnsi="宋体" w:eastAsia="宋体" w:cs="宋体"/>
          <w:b/>
          <w:bCs/>
          <w:color w:val="auto"/>
          <w:kern w:val="0"/>
          <w:sz w:val="30"/>
          <w:szCs w:val="30"/>
          <w:highlight w:val="none"/>
          <w:lang w:val="zh-CN" w:eastAsia="zh-CN"/>
        </w:rPr>
        <w:t>附录</w:t>
      </w:r>
      <w:r>
        <w:rPr>
          <w:rFonts w:hint="eastAsia" w:ascii="宋体" w:hAnsi="宋体" w:eastAsia="宋体" w:cs="宋体"/>
          <w:b/>
          <w:bCs/>
          <w:color w:val="auto"/>
          <w:kern w:val="0"/>
          <w:sz w:val="30"/>
          <w:szCs w:val="30"/>
          <w:highlight w:val="none"/>
        </w:rPr>
        <w:tab/>
      </w:r>
      <w:r>
        <w:rPr>
          <w:rFonts w:hint="eastAsia" w:ascii="宋体" w:hAnsi="宋体" w:eastAsia="宋体" w:cs="宋体"/>
          <w:b/>
          <w:bCs/>
          <w:color w:val="auto"/>
          <w:kern w:val="0"/>
          <w:sz w:val="30"/>
          <w:szCs w:val="30"/>
          <w:highlight w:val="none"/>
        </w:rPr>
        <w:fldChar w:fldCharType="begin"/>
      </w:r>
      <w:r>
        <w:rPr>
          <w:rFonts w:hint="eastAsia" w:ascii="宋体" w:hAnsi="宋体" w:eastAsia="宋体" w:cs="宋体"/>
          <w:b/>
          <w:bCs/>
          <w:color w:val="auto"/>
          <w:kern w:val="0"/>
          <w:sz w:val="30"/>
          <w:szCs w:val="30"/>
          <w:highlight w:val="none"/>
        </w:rPr>
        <w:instrText xml:space="preserve"> PAGEREF _Toc6977 \h </w:instrText>
      </w:r>
      <w:r>
        <w:rPr>
          <w:rFonts w:hint="eastAsia" w:ascii="宋体" w:hAnsi="宋体" w:eastAsia="宋体" w:cs="宋体"/>
          <w:b/>
          <w:bCs/>
          <w:color w:val="auto"/>
          <w:kern w:val="0"/>
          <w:sz w:val="30"/>
          <w:szCs w:val="30"/>
          <w:highlight w:val="none"/>
        </w:rPr>
        <w:fldChar w:fldCharType="separate"/>
      </w:r>
      <w:r>
        <w:rPr>
          <w:rFonts w:hint="eastAsia" w:ascii="宋体" w:hAnsi="宋体" w:eastAsia="宋体" w:cs="宋体"/>
          <w:b/>
          <w:bCs/>
          <w:color w:val="auto"/>
          <w:kern w:val="0"/>
          <w:sz w:val="30"/>
          <w:szCs w:val="30"/>
          <w:highlight w:val="none"/>
        </w:rPr>
        <w:t>35</w:t>
      </w:r>
      <w:r>
        <w:rPr>
          <w:rFonts w:hint="eastAsia" w:ascii="宋体" w:hAnsi="宋体" w:eastAsia="宋体" w:cs="宋体"/>
          <w:b/>
          <w:bCs/>
          <w:color w:val="auto"/>
          <w:kern w:val="0"/>
          <w:sz w:val="30"/>
          <w:szCs w:val="30"/>
          <w:highlight w:val="none"/>
        </w:rPr>
        <w:fldChar w:fldCharType="end"/>
      </w:r>
      <w:r>
        <w:rPr>
          <w:rFonts w:hint="eastAsia" w:ascii="宋体" w:hAnsi="宋体" w:eastAsia="宋体" w:cs="宋体"/>
          <w:b/>
          <w:bCs/>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lang w:val="en-US" w:eastAsia="zh-CN"/>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_Toc8158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9</w:t>
      </w:r>
      <w:r>
        <w:rPr>
          <w:rFonts w:hint="eastAsia" w:ascii="宋体" w:hAnsi="宋体" w:eastAsia="宋体" w:cs="宋体"/>
          <w:kern w:val="0"/>
          <w:sz w:val="30"/>
          <w:szCs w:val="30"/>
          <w:highlight w:val="none"/>
          <w:lang w:val="zh-CN" w:eastAsia="zh-CN"/>
        </w:rPr>
        <w:t>.1</w:t>
      </w:r>
      <w:r>
        <w:rPr>
          <w:rFonts w:hint="eastAsia" w:ascii="宋体" w:hAnsi="宋体" w:eastAsia="宋体" w:cs="宋体"/>
          <w:kern w:val="0"/>
          <w:sz w:val="30"/>
          <w:szCs w:val="30"/>
          <w:highlight w:val="none"/>
          <w:lang w:val="en-US" w:eastAsia="zh-CN"/>
        </w:rPr>
        <w:t>应急指挥部工作组成员</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_Toc8158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35</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_Toc9133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9.2</w:t>
      </w:r>
      <w:r>
        <w:rPr>
          <w:rFonts w:hint="eastAsia" w:ascii="宋体" w:hAnsi="宋体" w:eastAsia="宋体" w:cs="宋体"/>
          <w:kern w:val="0"/>
          <w:sz w:val="30"/>
          <w:szCs w:val="30"/>
          <w:highlight w:val="none"/>
          <w:lang w:val="zh-CN" w:eastAsia="zh-CN"/>
        </w:rPr>
        <w:t>交通行业相关单位应急值班电话</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_Toc9133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36</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kern w:val="0"/>
          <w:sz w:val="30"/>
          <w:szCs w:val="30"/>
          <w:highlight w:val="none"/>
          <w:lang w:val="en-US" w:eastAsia="zh-CN"/>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_Toc26879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9.3五指山市交通运输局应急指挥部工作组职责及相关应急</w:t>
      </w:r>
    </w:p>
    <w:p>
      <w:pPr>
        <w:pStyle w:val="8"/>
        <w:tabs>
          <w:tab w:val="right" w:leader="dot" w:pos="8306"/>
        </w:tabs>
        <w:ind w:firstLine="600" w:firstLineChars="200"/>
        <w:rPr>
          <w:rFonts w:hint="eastAsia" w:ascii="宋体" w:hAnsi="宋体" w:eastAsia="宋体" w:cs="宋体"/>
          <w:sz w:val="30"/>
          <w:szCs w:val="30"/>
          <w:highlight w:val="none"/>
        </w:rPr>
      </w:pPr>
      <w:r>
        <w:rPr>
          <w:rFonts w:hint="eastAsia" w:ascii="宋体" w:hAnsi="宋体" w:eastAsia="宋体" w:cs="宋体"/>
          <w:kern w:val="0"/>
          <w:sz w:val="30"/>
          <w:szCs w:val="30"/>
          <w:highlight w:val="none"/>
          <w:lang w:val="en-US" w:eastAsia="zh-CN"/>
        </w:rPr>
        <w:t>部门职责</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_Toc26879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37</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_Toc21946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9.4五指山市应急委成员单位通讯录</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_Toc21946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3</w:t>
      </w:r>
      <w:r>
        <w:rPr>
          <w:rFonts w:hint="eastAsia" w:ascii="宋体" w:hAnsi="宋体" w:cs="宋体"/>
          <w:sz w:val="30"/>
          <w:szCs w:val="30"/>
          <w:highlight w:val="none"/>
          <w:lang w:val="en-US" w:eastAsia="zh-CN"/>
        </w:rPr>
        <w:t>9</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default" w:ascii="宋体" w:hAnsi="宋体" w:eastAsia="宋体" w:cs="宋体"/>
          <w:sz w:val="30"/>
          <w:szCs w:val="30"/>
          <w:highlight w:val="none"/>
          <w:lang w:val="en-US" w:eastAsia="zh-CN"/>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_Toc3232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9.5</w:t>
      </w:r>
      <w:r>
        <w:rPr>
          <w:rFonts w:hint="eastAsia" w:ascii="宋体" w:hAnsi="宋体" w:eastAsia="宋体" w:cs="宋体"/>
          <w:kern w:val="0"/>
          <w:sz w:val="30"/>
          <w:szCs w:val="30"/>
          <w:highlight w:val="none"/>
          <w:lang w:val="zh-CN" w:eastAsia="zh-CN"/>
        </w:rPr>
        <w:t>衔接预案名录</w:t>
      </w:r>
      <w:r>
        <w:rPr>
          <w:rFonts w:hint="eastAsia" w:ascii="宋体" w:hAnsi="宋体" w:eastAsia="宋体" w:cs="宋体"/>
          <w:sz w:val="30"/>
          <w:szCs w:val="30"/>
          <w:highlight w:val="none"/>
        </w:rPr>
        <w:tab/>
      </w:r>
      <w:r>
        <w:rPr>
          <w:rFonts w:hint="eastAsia" w:ascii="宋体" w:hAnsi="宋体" w:eastAsia="宋体" w:cs="宋体"/>
          <w:color w:val="auto"/>
          <w:kern w:val="0"/>
          <w:sz w:val="30"/>
          <w:szCs w:val="30"/>
          <w:highlight w:val="none"/>
        </w:rPr>
        <w:fldChar w:fldCharType="end"/>
      </w:r>
      <w:r>
        <w:rPr>
          <w:rFonts w:hint="eastAsia" w:ascii="宋体" w:hAnsi="宋体" w:cs="宋体"/>
          <w:sz w:val="30"/>
          <w:szCs w:val="30"/>
          <w:highlight w:val="none"/>
          <w:lang w:val="en-US" w:eastAsia="zh-CN"/>
        </w:rPr>
        <w:t>40</w:t>
      </w:r>
    </w:p>
    <w:p>
      <w:pPr>
        <w:pStyle w:val="8"/>
        <w:tabs>
          <w:tab w:val="right" w:leader="dot" w:pos="8306"/>
        </w:tabs>
        <w:rPr>
          <w:rFonts w:hint="default" w:ascii="宋体" w:hAnsi="宋体" w:eastAsia="宋体" w:cs="宋体"/>
          <w:sz w:val="30"/>
          <w:szCs w:val="30"/>
          <w:highlight w:val="none"/>
          <w:lang w:val="en-US" w:eastAsia="zh-CN"/>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_Toc5916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9.6五指山市交通行业突发事件应急预案体系</w:t>
      </w:r>
      <w:r>
        <w:rPr>
          <w:rFonts w:hint="eastAsia" w:ascii="宋体" w:hAnsi="宋体" w:eastAsia="宋体" w:cs="宋体"/>
          <w:sz w:val="30"/>
          <w:szCs w:val="30"/>
          <w:highlight w:val="none"/>
        </w:rPr>
        <w:tab/>
      </w:r>
      <w:r>
        <w:rPr>
          <w:rFonts w:hint="eastAsia" w:ascii="宋体" w:hAnsi="宋体" w:eastAsia="宋体" w:cs="宋体"/>
          <w:color w:val="auto"/>
          <w:kern w:val="0"/>
          <w:sz w:val="30"/>
          <w:szCs w:val="30"/>
          <w:highlight w:val="none"/>
        </w:rPr>
        <w:fldChar w:fldCharType="end"/>
      </w:r>
      <w:r>
        <w:rPr>
          <w:rFonts w:hint="eastAsia" w:ascii="宋体" w:hAnsi="宋体" w:cs="宋体"/>
          <w:sz w:val="30"/>
          <w:szCs w:val="30"/>
          <w:highlight w:val="none"/>
          <w:lang w:val="en-US" w:eastAsia="zh-CN"/>
        </w:rPr>
        <w:t>41</w:t>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_Toc14037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9.7机动运力明细表</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_Toc14037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41</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default" w:ascii="宋体" w:hAnsi="宋体" w:eastAsia="宋体" w:cs="宋体"/>
          <w:sz w:val="30"/>
          <w:szCs w:val="30"/>
          <w:highlight w:val="none"/>
          <w:lang w:val="en-US" w:eastAsia="zh-CN"/>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_Toc29712 </w:instrText>
      </w:r>
      <w:r>
        <w:rPr>
          <w:rFonts w:hint="eastAsia" w:ascii="宋体" w:hAnsi="宋体" w:eastAsia="宋体" w:cs="宋体"/>
          <w:kern w:val="0"/>
          <w:sz w:val="30"/>
          <w:szCs w:val="30"/>
          <w:highlight w:val="none"/>
        </w:rPr>
        <w:fldChar w:fldCharType="separate"/>
      </w:r>
      <w:r>
        <w:rPr>
          <w:rFonts w:hint="eastAsia" w:ascii="宋体" w:hAnsi="宋体" w:eastAsia="宋体" w:cs="宋体"/>
          <w:kern w:val="0"/>
          <w:sz w:val="30"/>
          <w:szCs w:val="30"/>
          <w:highlight w:val="none"/>
          <w:lang w:val="en-US" w:eastAsia="zh-CN"/>
        </w:rPr>
        <w:t>9.8应急物资储备表</w:t>
      </w:r>
      <w:r>
        <w:rPr>
          <w:rFonts w:hint="eastAsia" w:ascii="宋体" w:hAnsi="宋体" w:eastAsia="宋体" w:cs="宋体"/>
          <w:sz w:val="30"/>
          <w:szCs w:val="30"/>
          <w:highlight w:val="none"/>
        </w:rPr>
        <w:tab/>
      </w:r>
      <w:r>
        <w:rPr>
          <w:rFonts w:hint="eastAsia" w:ascii="宋体" w:hAnsi="宋体" w:eastAsia="宋体" w:cs="宋体"/>
          <w:color w:val="auto"/>
          <w:kern w:val="0"/>
          <w:sz w:val="30"/>
          <w:szCs w:val="30"/>
          <w:highlight w:val="none"/>
        </w:rPr>
        <w:fldChar w:fldCharType="end"/>
      </w:r>
      <w:r>
        <w:rPr>
          <w:rFonts w:hint="eastAsia" w:ascii="宋体" w:hAnsi="宋体" w:cs="宋体"/>
          <w:sz w:val="30"/>
          <w:szCs w:val="30"/>
          <w:highlight w:val="none"/>
          <w:lang w:val="en-US" w:eastAsia="zh-CN"/>
        </w:rPr>
        <w:t>42</w:t>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_Toc6492 </w:instrText>
      </w:r>
      <w:r>
        <w:rPr>
          <w:rFonts w:hint="eastAsia" w:ascii="宋体" w:hAnsi="宋体" w:eastAsia="宋体" w:cs="宋体"/>
          <w:kern w:val="0"/>
          <w:sz w:val="30"/>
          <w:szCs w:val="30"/>
          <w:highlight w:val="none"/>
        </w:rPr>
        <w:fldChar w:fldCharType="separate"/>
      </w:r>
      <w:r>
        <w:rPr>
          <w:rFonts w:hint="eastAsia" w:ascii="宋体" w:hAnsi="宋体" w:eastAsia="宋体" w:cs="宋体"/>
          <w:bCs w:val="0"/>
          <w:kern w:val="0"/>
          <w:sz w:val="30"/>
          <w:szCs w:val="30"/>
          <w:highlight w:val="none"/>
          <w:lang w:val="en-US" w:eastAsia="zh-CN" w:bidi="ar-SA"/>
        </w:rPr>
        <w:t>9.9防御响应启动条件</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_Toc6492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42</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lang w:val="en-US" w:eastAsia="zh-CN"/>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_Toc14332 </w:instrText>
      </w:r>
      <w:r>
        <w:rPr>
          <w:rFonts w:hint="eastAsia" w:ascii="宋体" w:hAnsi="宋体" w:eastAsia="宋体" w:cs="宋体"/>
          <w:kern w:val="0"/>
          <w:sz w:val="30"/>
          <w:szCs w:val="30"/>
          <w:highlight w:val="none"/>
        </w:rPr>
        <w:fldChar w:fldCharType="separate"/>
      </w:r>
      <w:r>
        <w:rPr>
          <w:rFonts w:hint="eastAsia" w:ascii="宋体" w:hAnsi="宋体" w:eastAsia="宋体" w:cs="宋体"/>
          <w:bCs w:val="0"/>
          <w:kern w:val="0"/>
          <w:sz w:val="30"/>
          <w:szCs w:val="30"/>
          <w:highlight w:val="none"/>
          <w:lang w:val="en-US" w:eastAsia="zh-CN" w:bidi="ar-SA"/>
        </w:rPr>
        <w:t>9.10海南省突发事件分类分级标准</w:t>
      </w:r>
      <w:r>
        <w:rPr>
          <w:rFonts w:hint="eastAsia" w:ascii="宋体" w:hAnsi="宋体" w:eastAsia="宋体" w:cs="宋体"/>
          <w:sz w:val="30"/>
          <w:szCs w:val="30"/>
          <w:highlight w:val="none"/>
        </w:rPr>
        <w:tab/>
      </w:r>
      <w:r>
        <w:rPr>
          <w:rFonts w:hint="eastAsia" w:ascii="宋体" w:hAnsi="宋体" w:cs="宋体"/>
          <w:sz w:val="30"/>
          <w:szCs w:val="30"/>
          <w:highlight w:val="none"/>
          <w:lang w:val="en-US" w:eastAsia="zh-CN"/>
        </w:rPr>
        <w:t>4</w:t>
      </w:r>
      <w:r>
        <w:rPr>
          <w:rFonts w:hint="eastAsia" w:ascii="宋体" w:hAnsi="宋体" w:eastAsia="宋体" w:cs="宋体"/>
          <w:color w:val="auto"/>
          <w:kern w:val="0"/>
          <w:sz w:val="30"/>
          <w:szCs w:val="30"/>
          <w:highlight w:val="none"/>
        </w:rPr>
        <w:fldChar w:fldCharType="end"/>
      </w:r>
      <w:r>
        <w:rPr>
          <w:rFonts w:hint="eastAsia" w:ascii="宋体" w:hAnsi="宋体" w:cs="宋体"/>
          <w:color w:val="auto"/>
          <w:kern w:val="0"/>
          <w:sz w:val="30"/>
          <w:szCs w:val="30"/>
          <w:highlight w:val="none"/>
          <w:lang w:val="en-US" w:eastAsia="zh-CN"/>
        </w:rPr>
        <w:t>5</w:t>
      </w:r>
    </w:p>
    <w:p>
      <w:pPr>
        <w:pStyle w:val="8"/>
        <w:tabs>
          <w:tab w:val="right" w:leader="dot" w:pos="8306"/>
        </w:tabs>
        <w:rPr>
          <w:rFonts w:hint="eastAsia" w:ascii="宋体" w:hAnsi="宋体" w:eastAsia="宋体" w:cs="宋体"/>
          <w:sz w:val="30"/>
          <w:szCs w:val="30"/>
          <w:highlight w:val="none"/>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_Toc28167 </w:instrText>
      </w:r>
      <w:r>
        <w:rPr>
          <w:rFonts w:hint="eastAsia" w:ascii="宋体" w:hAnsi="宋体" w:eastAsia="宋体" w:cs="宋体"/>
          <w:kern w:val="0"/>
          <w:sz w:val="30"/>
          <w:szCs w:val="30"/>
          <w:highlight w:val="none"/>
        </w:rPr>
        <w:fldChar w:fldCharType="separate"/>
      </w:r>
      <w:r>
        <w:rPr>
          <w:rFonts w:hint="eastAsia" w:ascii="宋体" w:hAnsi="宋体" w:eastAsia="宋体" w:cs="宋体"/>
          <w:bCs w:val="0"/>
          <w:kern w:val="0"/>
          <w:sz w:val="30"/>
          <w:szCs w:val="30"/>
          <w:highlight w:val="none"/>
          <w:lang w:val="en-US" w:eastAsia="zh-CN" w:bidi="ar-SA"/>
        </w:rPr>
        <w:t>9.11五指山市易发生交通灾害路段</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_Toc28167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58</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8"/>
        <w:tabs>
          <w:tab w:val="right" w:leader="dot" w:pos="8306"/>
        </w:tabs>
        <w:rPr>
          <w:rFonts w:hint="eastAsia" w:ascii="宋体" w:hAnsi="宋体" w:eastAsia="宋体" w:cs="宋体"/>
          <w:sz w:val="30"/>
          <w:szCs w:val="30"/>
          <w:highlight w:val="none"/>
          <w:lang w:eastAsia="zh-CN"/>
        </w:rPr>
      </w:pPr>
      <w:r>
        <w:rPr>
          <w:rFonts w:hint="eastAsia" w:ascii="宋体" w:hAnsi="宋体" w:eastAsia="宋体" w:cs="宋体"/>
          <w:color w:val="auto"/>
          <w:kern w:val="0"/>
          <w:sz w:val="30"/>
          <w:szCs w:val="30"/>
          <w:highlight w:val="none"/>
        </w:rPr>
        <w:fldChar w:fldCharType="begin"/>
      </w:r>
      <w:r>
        <w:rPr>
          <w:rFonts w:hint="eastAsia" w:ascii="宋体" w:hAnsi="宋体" w:eastAsia="宋体" w:cs="宋体"/>
          <w:kern w:val="0"/>
          <w:sz w:val="30"/>
          <w:szCs w:val="30"/>
          <w:highlight w:val="none"/>
        </w:rPr>
        <w:instrText xml:space="preserve"> HYPERLINK \l _Toc3974 </w:instrText>
      </w:r>
      <w:r>
        <w:rPr>
          <w:rFonts w:hint="eastAsia" w:ascii="宋体" w:hAnsi="宋体" w:eastAsia="宋体" w:cs="宋体"/>
          <w:kern w:val="0"/>
          <w:sz w:val="30"/>
          <w:szCs w:val="30"/>
          <w:highlight w:val="none"/>
        </w:rPr>
        <w:fldChar w:fldCharType="separate"/>
      </w:r>
      <w:r>
        <w:rPr>
          <w:rFonts w:hint="eastAsia" w:ascii="宋体" w:hAnsi="宋体" w:eastAsia="宋体" w:cs="宋体"/>
          <w:bCs w:val="0"/>
          <w:kern w:val="0"/>
          <w:sz w:val="30"/>
          <w:szCs w:val="30"/>
          <w:highlight w:val="none"/>
          <w:lang w:val="en-US" w:eastAsia="zh-CN" w:bidi="ar-SA"/>
        </w:rPr>
        <w:t>9.12交通运输突发事件信息报告和处理办法</w:t>
      </w:r>
      <w:r>
        <w:rPr>
          <w:rFonts w:hint="eastAsia" w:ascii="宋体" w:hAnsi="宋体" w:eastAsia="宋体" w:cs="宋体"/>
          <w:sz w:val="30"/>
          <w:szCs w:val="30"/>
          <w:highlight w:val="none"/>
        </w:rPr>
        <w:tab/>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PAGEREF _Toc3974 \h </w:instrText>
      </w:r>
      <w:r>
        <w:rPr>
          <w:rFonts w:hint="eastAsia" w:ascii="宋体" w:hAnsi="宋体" w:eastAsia="宋体" w:cs="宋体"/>
          <w:sz w:val="30"/>
          <w:szCs w:val="30"/>
          <w:highlight w:val="none"/>
        </w:rPr>
        <w:fldChar w:fldCharType="separate"/>
      </w:r>
      <w:r>
        <w:rPr>
          <w:rFonts w:hint="eastAsia" w:ascii="宋体" w:hAnsi="宋体" w:eastAsia="宋体" w:cs="宋体"/>
          <w:sz w:val="30"/>
          <w:szCs w:val="30"/>
          <w:highlight w:val="none"/>
        </w:rPr>
        <w:t>60</w:t>
      </w:r>
      <w:r>
        <w:rPr>
          <w:rFonts w:hint="eastAsia" w:ascii="宋体" w:hAnsi="宋体" w:eastAsia="宋体" w:cs="宋体"/>
          <w:sz w:val="30"/>
          <w:szCs w:val="30"/>
          <w:highlight w:val="none"/>
        </w:rPr>
        <w:fldChar w:fldCharType="end"/>
      </w:r>
      <w:r>
        <w:rPr>
          <w:rFonts w:hint="eastAsia" w:ascii="宋体" w:hAnsi="宋体" w:eastAsia="宋体" w:cs="宋体"/>
          <w:color w:val="auto"/>
          <w:kern w:val="0"/>
          <w:sz w:val="30"/>
          <w:szCs w:val="30"/>
          <w:highlight w:val="none"/>
        </w:rPr>
        <w:fldChar w:fldCharType="end"/>
      </w:r>
    </w:p>
    <w:p>
      <w:pPr>
        <w:pStyle w:val="3"/>
        <w:rPr>
          <w:rFonts w:hint="eastAsia" w:ascii="宋体" w:hAnsi="宋体" w:eastAsia="宋体" w:cs="宋体"/>
          <w:color w:val="auto"/>
          <w:kern w:val="0"/>
          <w:sz w:val="30"/>
          <w:szCs w:val="30"/>
          <w:highlight w:val="none"/>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eastAsia="宋体" w:cs="宋体"/>
          <w:color w:val="auto"/>
          <w:kern w:val="0"/>
          <w:sz w:val="30"/>
          <w:szCs w:val="30"/>
          <w:highlight w:val="none"/>
        </w:rPr>
        <w:fldChar w:fldCharType="end"/>
      </w:r>
    </w:p>
    <w:p>
      <w:pPr>
        <w:pStyle w:val="3"/>
        <w:pageBreakBefore w:val="0"/>
        <w:widowControl w:val="0"/>
        <w:kinsoku/>
        <w:wordWrap/>
        <w:overflowPunct/>
        <w:topLinePunct w:val="0"/>
        <w:autoSpaceDE/>
        <w:autoSpaceDN/>
        <w:bidi w:val="0"/>
        <w:adjustRightInd/>
        <w:snapToGrid/>
        <w:spacing w:before="0" w:after="0" w:line="720" w:lineRule="exact"/>
        <w:jc w:val="center"/>
        <w:textAlignment w:val="auto"/>
        <w:outlineLvl w:val="9"/>
        <w:rPr>
          <w:rFonts w:hint="eastAsia" w:ascii="方正小标宋简体" w:hAnsi="方正小标宋简体" w:eastAsia="方正小标宋简体" w:cs="方正小标宋简体"/>
          <w:b w:val="0"/>
          <w:color w:val="auto"/>
          <w:kern w:val="0"/>
          <w:sz w:val="44"/>
          <w:szCs w:val="44"/>
          <w:highlight w:val="none"/>
          <w:lang w:val="en-US" w:eastAsia="zh-CN" w:bidi="ar-SA"/>
        </w:rPr>
      </w:pPr>
      <w:bookmarkStart w:id="0" w:name="_Toc14573"/>
      <w:bookmarkStart w:id="1" w:name="_Toc16286"/>
      <w:r>
        <w:rPr>
          <w:rFonts w:hint="eastAsia" w:ascii="方正小标宋简体" w:hAnsi="方正小标宋简体" w:eastAsia="方正小标宋简体" w:cs="方正小标宋简体"/>
          <w:b w:val="0"/>
          <w:color w:val="auto"/>
          <w:kern w:val="0"/>
          <w:sz w:val="44"/>
          <w:szCs w:val="44"/>
          <w:highlight w:val="none"/>
          <w:lang w:val="en-US" w:eastAsia="zh-CN" w:bidi="ar-SA"/>
        </w:rPr>
        <w:t>五指山市交通运输行业突发事件</w:t>
      </w:r>
    </w:p>
    <w:p>
      <w:pPr>
        <w:pStyle w:val="3"/>
        <w:pageBreakBefore w:val="0"/>
        <w:widowControl w:val="0"/>
        <w:kinsoku/>
        <w:wordWrap/>
        <w:overflowPunct/>
        <w:topLinePunct w:val="0"/>
        <w:autoSpaceDE/>
        <w:autoSpaceDN/>
        <w:bidi w:val="0"/>
        <w:adjustRightInd/>
        <w:snapToGrid/>
        <w:spacing w:before="0" w:after="0" w:line="72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b w:val="0"/>
          <w:color w:val="auto"/>
          <w:kern w:val="0"/>
          <w:sz w:val="44"/>
          <w:szCs w:val="44"/>
          <w:highlight w:val="none"/>
          <w:lang w:val="en-US" w:eastAsia="zh-CN" w:bidi="ar-SA"/>
        </w:rPr>
        <w:t>综合应急预案</w:t>
      </w:r>
      <w:bookmarkEnd w:id="0"/>
      <w:bookmarkEnd w:id="1"/>
    </w:p>
    <w:p>
      <w:pPr>
        <w:pStyle w:val="3"/>
        <w:pageBreakBefore w:val="0"/>
        <w:widowControl w:val="0"/>
        <w:kinsoku/>
        <w:wordWrap/>
        <w:overflowPunct/>
        <w:topLinePunct w:val="0"/>
        <w:autoSpaceDE/>
        <w:autoSpaceDN/>
        <w:bidi w:val="0"/>
        <w:adjustRightInd/>
        <w:snapToGrid/>
        <w:spacing w:before="0" w:after="0" w:line="560" w:lineRule="exact"/>
        <w:jc w:val="center"/>
        <w:textAlignment w:val="auto"/>
        <w:outlineLvl w:val="9"/>
        <w:rPr>
          <w:rFonts w:hint="eastAsia" w:ascii="微软雅黑" w:hAnsi="微软雅黑" w:eastAsia="微软雅黑" w:cs="微软雅黑"/>
          <w:b w:val="0"/>
          <w:color w:val="auto"/>
          <w:kern w:val="0"/>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bookmarkStart w:id="2" w:name="_Toc14657"/>
      <w:bookmarkStart w:id="3" w:name="_Toc3993"/>
      <w:bookmarkStart w:id="4" w:name="_Toc12077"/>
      <w:bookmarkStart w:id="5" w:name="_Toc1820"/>
      <w:r>
        <w:rPr>
          <w:rFonts w:hint="eastAsia" w:ascii="黑体" w:hAnsi="黑体" w:eastAsia="黑体" w:cs="黑体"/>
          <w:sz w:val="32"/>
          <w:szCs w:val="32"/>
          <w:highlight w:val="none"/>
        </w:rPr>
        <w:t>1.总则</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bookmarkStart w:id="6" w:name="_Toc29376"/>
      <w:bookmarkStart w:id="7" w:name="_Toc23822"/>
      <w:bookmarkStart w:id="8" w:name="_Toc9472"/>
      <w:bookmarkStart w:id="9" w:name="_Toc27250"/>
      <w:bookmarkStart w:id="10" w:name="_Toc32020"/>
      <w:r>
        <w:rPr>
          <w:rFonts w:hint="eastAsia" w:ascii="黑体" w:hAnsi="黑体" w:eastAsia="黑体" w:cs="黑体"/>
          <w:sz w:val="32"/>
          <w:szCs w:val="32"/>
          <w:highlight w:val="none"/>
        </w:rPr>
        <w:t>1.1编制目的</w:t>
      </w:r>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rPr>
        <w:t>为切实加强全市交通运输综合应急管理工作</w:t>
      </w:r>
      <w:r>
        <w:rPr>
          <w:rFonts w:hint="eastAsia" w:ascii="仿宋_GB2312" w:hAnsi="仿宋_GB2312" w:eastAsia="仿宋_GB2312" w:cs="仿宋_GB2312"/>
          <w:sz w:val="32"/>
          <w:szCs w:val="32"/>
          <w:highlight w:val="none"/>
          <w:lang w:val="zh-CN"/>
        </w:rPr>
        <w:t>和处置工作</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zh-CN"/>
        </w:rPr>
        <w:t>有效预防、及时控制、妥善处置交通运输行业突发事件，并为全市其他相关突发事件处置工作提供交通运输保障，最大限度减少人员伤亡和财产损失</w:t>
      </w:r>
      <w:r>
        <w:rPr>
          <w:rFonts w:hint="eastAsia" w:ascii="仿宋_GB2312" w:hAnsi="仿宋_GB2312" w:eastAsia="仿宋_GB2312" w:cs="仿宋_GB2312"/>
          <w:sz w:val="32"/>
          <w:szCs w:val="32"/>
          <w:highlight w:val="none"/>
        </w:rPr>
        <w:t>，制定本预案。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bookmarkStart w:id="11" w:name="_Toc32108"/>
      <w:bookmarkStart w:id="12" w:name="_Toc11441"/>
      <w:bookmarkStart w:id="13" w:name="_Toc24348"/>
      <w:bookmarkStart w:id="14" w:name="_Toc2818"/>
      <w:bookmarkStart w:id="15" w:name="_Toc6397"/>
      <w:r>
        <w:rPr>
          <w:rFonts w:hint="eastAsia" w:ascii="黑体" w:hAnsi="黑体" w:eastAsia="黑体" w:cs="黑体"/>
          <w:sz w:val="32"/>
          <w:szCs w:val="32"/>
          <w:highlight w:val="none"/>
        </w:rPr>
        <w:t>1.2编制依据</w:t>
      </w:r>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1.2.1中华人民共和国安全生产法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1.2.2中华人民共和国突发事件应对法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1.2.3中华人民共和国公路法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1.2.4交通运输突发事件应急管理规定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1.2.5中华人民共和国道路交通安全法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1.2.6</w:t>
      </w:r>
      <w:r>
        <w:rPr>
          <w:rFonts w:hint="eastAsia" w:ascii="仿宋_GB2312" w:hAnsi="仿宋_GB2312" w:eastAsia="仿宋_GB2312" w:cs="仿宋_GB2312"/>
          <w:sz w:val="32"/>
          <w:szCs w:val="32"/>
          <w:highlight w:val="none"/>
        </w:rPr>
        <w:t>生产安全事故应急预案管理办法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1.2.7</w:t>
      </w:r>
      <w:r>
        <w:rPr>
          <w:rFonts w:hint="eastAsia" w:ascii="仿宋_GB2312" w:hAnsi="仿宋_GB2312" w:eastAsia="仿宋_GB2312" w:cs="仿宋_GB2312"/>
          <w:sz w:val="32"/>
          <w:szCs w:val="32"/>
          <w:highlight w:val="none"/>
        </w:rPr>
        <w:t>突发事件应急预案管理办法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1.2.8</w:t>
      </w:r>
      <w:r>
        <w:rPr>
          <w:rFonts w:hint="eastAsia" w:ascii="仿宋_GB2312" w:hAnsi="仿宋_GB2312" w:eastAsia="仿宋_GB2312" w:cs="仿宋_GB2312"/>
          <w:sz w:val="32"/>
          <w:szCs w:val="32"/>
          <w:highlight w:val="none"/>
        </w:rPr>
        <w:t>交通运输综合应急预案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1.2.9交通运输突发事件信息报告和处理办法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1.2.10</w:t>
      </w:r>
      <w:r>
        <w:rPr>
          <w:rFonts w:hint="eastAsia" w:ascii="仿宋_GB2312" w:hAnsi="仿宋_GB2312" w:eastAsia="仿宋_GB2312" w:cs="仿宋_GB2312"/>
          <w:sz w:val="32"/>
          <w:szCs w:val="32"/>
          <w:highlight w:val="none"/>
        </w:rPr>
        <w:t>海南省人民政府突发公共事件总体应急预案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1.2.11海南省交通运输突发事件综合应急预案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1.2.12</w:t>
      </w:r>
      <w:r>
        <w:rPr>
          <w:rFonts w:hint="eastAsia" w:ascii="仿宋_GB2312" w:hAnsi="仿宋_GB2312" w:eastAsia="仿宋_GB2312" w:cs="仿宋_GB2312"/>
          <w:sz w:val="32"/>
          <w:szCs w:val="32"/>
          <w:highlight w:val="none"/>
        </w:rPr>
        <w:t>海南省道路运输突发事件应急预案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1.2.13海南省突发事件预警信息发布管理暂行办法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1.2.14</w:t>
      </w:r>
      <w:r>
        <w:rPr>
          <w:rFonts w:hint="eastAsia" w:ascii="仿宋_GB2312" w:hAnsi="仿宋_GB2312" w:eastAsia="仿宋_GB2312" w:cs="仿宋_GB2312"/>
          <w:sz w:val="32"/>
          <w:szCs w:val="32"/>
          <w:highlight w:val="none"/>
          <w:lang w:eastAsia="zh-CN"/>
        </w:rPr>
        <w:t>五指山市突发事件总体应急预案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bookmarkStart w:id="16" w:name="_Toc21032"/>
      <w:r>
        <w:rPr>
          <w:rFonts w:hint="eastAsia" w:ascii="黑体" w:hAnsi="黑体" w:eastAsia="黑体" w:cs="黑体"/>
          <w:sz w:val="32"/>
          <w:szCs w:val="32"/>
          <w:highlight w:val="none"/>
          <w:lang w:eastAsia="zh-CN"/>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lang w:eastAsia="zh-CN"/>
        </w:rPr>
        <w:t>突发事件分类分级</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1.</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lang w:eastAsia="zh-CN"/>
        </w:rPr>
        <w:t>.1突发事件分类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（1）自然灾害。主要包括水旱灾害，台风、暴雨、龙卷风、冰雹等气象灾害，火山、地震灾害，山体崩塌、滑坡、泥石流、地面塌陷等地质灾害，农作物病虫害、森林病虫害，森林火灾和重大生物灾害等。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（2）公路交通运输生产事故。主要包括交通事故、公路工程建设事故、危险货物运输事故。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（3）公共卫生事件。主要包括传染病疫情、群体性不明原因疾病、食品安全和职业危害、动物疫情，以及其他严重影响公众健康和生命安全的事件。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（4）社会安全事件。主要包括恐怖袭击事件、经济安全事件和涉外突发事件。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1.3.2突发事件分级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bookmarkStart w:id="17" w:name="_Toc21697"/>
      <w:r>
        <w:rPr>
          <w:rFonts w:hint="eastAsia" w:ascii="仿宋_GB2312" w:hAnsi="仿宋_GB2312" w:eastAsia="仿宋_GB2312" w:cs="仿宋_GB2312"/>
          <w:sz w:val="32"/>
          <w:szCs w:val="32"/>
          <w:highlight w:val="none"/>
          <w:lang w:val="en-US" w:eastAsia="zh-CN"/>
        </w:rPr>
        <w:t>按照突发事件的特点、严重程度、影响范围等，将突发事件由高到低分为四级：Ⅰ级（特别重大）、Ⅱ级（重大）、Ⅲ级（较大）和Ⅳ级（一般）4个级别。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Ⅰ级（特别重大）突发事件：指事态非常复杂，已经或可能造成特别重大人员伤亡、特别重大财产损失，需市交通运输局报请市委、市政府和省交通运输厅组织协调多方面力量和资源进行应急处置的紧急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（2）Ⅱ级（重大）突发事件：指事态复杂，已经或可能造成重大人员伤亡、重大财产损失，需市交通运输局报请市委、市政府和省交通运输厅组织协调多方面力量和资源进行应急处置的紧急突发事件。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（3）Ⅲ级（较大）突发事件：指事态较为复杂，已经或可能造成较大人员伤亡、较大财产损失，需报请市政府,并组织协调应急处置的紧急突发事件。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（4）Ⅳ级（一般）突发事件：指事态比较简单，已经或可能造成人员伤亡和财产损失，需市交通运输局指导、参与应急处置的突发事件。</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交通运输行业突发事件的分级标准，参照海南省（或国家）相关预案的适用标准执行。具体分级参照《海南省突发事件分级标准》（详见附录9.9）。</w:t>
      </w:r>
      <w:r>
        <w:rPr>
          <w:rFonts w:hint="eastAsia" w:ascii="仿宋_GB2312" w:hAnsi="仿宋_GB2312" w:eastAsia="仿宋_GB2312" w:cs="仿宋_GB2312"/>
          <w:color w:val="auto"/>
          <w:kern w:val="0"/>
          <w:sz w:val="32"/>
          <w:szCs w:val="32"/>
          <w:highlight w:val="none"/>
          <w:lang w:val="en-US" w:eastAsia="zh-CN"/>
        </w:rPr>
        <w:t>市专项应急预案或相关部门应急预案已明确事件等级标准的，参照其执行。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bookmarkStart w:id="18" w:name="_Toc11622"/>
      <w:bookmarkStart w:id="19" w:name="_Toc15264"/>
      <w:bookmarkStart w:id="20" w:name="_Toc10389"/>
      <w:bookmarkStart w:id="21" w:name="_Toc17938"/>
      <w:r>
        <w:rPr>
          <w:rFonts w:hint="eastAsia" w:ascii="黑体" w:hAnsi="黑体" w:eastAsia="黑体" w:cs="黑体"/>
          <w:sz w:val="32"/>
          <w:szCs w:val="32"/>
          <w:highlight w:val="none"/>
        </w:rPr>
        <w:t>1.4适用范围</w:t>
      </w:r>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22" w:name="_Toc29246"/>
      <w:bookmarkStart w:id="23" w:name="_Toc22529"/>
      <w:bookmarkStart w:id="24" w:name="_Toc13890"/>
      <w:bookmarkStart w:id="25" w:name="_Toc12045"/>
      <w:bookmarkStart w:id="26" w:name="_Toc16986"/>
      <w:bookmarkStart w:id="27" w:name="_Toc6566"/>
      <w:bookmarkStart w:id="28" w:name="_Toc25197"/>
      <w:bookmarkStart w:id="29" w:name="_Toc26015"/>
      <w:r>
        <w:rPr>
          <w:rFonts w:hint="eastAsia" w:ascii="仿宋_GB2312" w:hAnsi="仿宋_GB2312" w:eastAsia="仿宋_GB2312" w:cs="仿宋_GB2312"/>
          <w:b w:val="0"/>
          <w:bCs w:val="0"/>
          <w:color w:val="auto"/>
          <w:kern w:val="0"/>
          <w:sz w:val="32"/>
          <w:szCs w:val="32"/>
          <w:highlight w:val="none"/>
          <w:lang w:val="zh-CN" w:eastAsia="zh-CN" w:bidi="ar-SA"/>
        </w:rPr>
        <w:t>本预案适用于发生在我市行政区域内的</w:t>
      </w:r>
      <w:r>
        <w:rPr>
          <w:rFonts w:hint="eastAsia" w:ascii="仿宋_GB2312" w:hAnsi="仿宋_GB2312" w:eastAsia="仿宋_GB2312" w:cs="仿宋_GB2312"/>
          <w:b w:val="0"/>
          <w:bCs w:val="0"/>
          <w:color w:val="auto"/>
          <w:kern w:val="0"/>
          <w:sz w:val="32"/>
          <w:szCs w:val="32"/>
          <w:highlight w:val="none"/>
          <w:lang w:val="en-US" w:eastAsia="zh-CN" w:bidi="ar-SA"/>
        </w:rPr>
        <w:t>较大（Ⅲ级）</w:t>
      </w:r>
      <w:r>
        <w:rPr>
          <w:rFonts w:hint="eastAsia" w:ascii="仿宋_GB2312" w:hAnsi="仿宋_GB2312" w:eastAsia="仿宋_GB2312" w:cs="仿宋_GB2312"/>
          <w:b w:val="0"/>
          <w:bCs w:val="0"/>
          <w:color w:val="auto"/>
          <w:kern w:val="0"/>
          <w:sz w:val="32"/>
          <w:szCs w:val="32"/>
          <w:highlight w:val="none"/>
          <w:lang w:val="zh-CN" w:eastAsia="zh-CN" w:bidi="ar-SA"/>
        </w:rPr>
        <w:t>及以下等级交通运输突发事件的应急处置和重大（</w:t>
      </w:r>
      <w:r>
        <w:rPr>
          <w:rFonts w:hint="eastAsia" w:ascii="仿宋_GB2312" w:hAnsi="仿宋_GB2312" w:eastAsia="仿宋_GB2312" w:cs="仿宋_GB2312"/>
          <w:b w:val="0"/>
          <w:bCs w:val="0"/>
          <w:color w:val="auto"/>
          <w:kern w:val="0"/>
          <w:sz w:val="32"/>
          <w:szCs w:val="32"/>
          <w:highlight w:val="none"/>
          <w:lang w:val="en-US" w:eastAsia="zh-CN" w:bidi="ar-SA"/>
        </w:rPr>
        <w:t>Ⅱ</w:t>
      </w:r>
      <w:r>
        <w:rPr>
          <w:rFonts w:hint="eastAsia" w:ascii="仿宋_GB2312" w:hAnsi="仿宋_GB2312" w:eastAsia="仿宋_GB2312" w:cs="仿宋_GB2312"/>
          <w:b w:val="0"/>
          <w:bCs w:val="0"/>
          <w:color w:val="auto"/>
          <w:kern w:val="0"/>
          <w:sz w:val="32"/>
          <w:szCs w:val="32"/>
          <w:highlight w:val="none"/>
          <w:lang w:val="zh-CN" w:eastAsia="zh-CN" w:bidi="ar-SA"/>
        </w:rPr>
        <w:t>级）及以上交通运输突发事件的先期处置，以及由市政府统一领导，或由政府其他部门牵头处置，需市交通运输局参与处置的涉及自然灾害、事故灾难、公共卫生事件和社会安全事件。主要包括：</w:t>
      </w:r>
      <w:bookmarkEnd w:id="22"/>
      <w:bookmarkEnd w:id="23"/>
      <w:bookmarkEnd w:id="24"/>
      <w:bookmarkEnd w:id="25"/>
      <w:bookmarkEnd w:id="26"/>
      <w:bookmarkEnd w:id="27"/>
      <w:bookmarkEnd w:id="28"/>
      <w:bookmarkEnd w:id="29"/>
      <w:bookmarkStart w:id="30" w:name="_Toc30861"/>
      <w:bookmarkStart w:id="31" w:name="_Toc26451"/>
      <w:bookmarkStart w:id="32" w:name="_Toc8857"/>
      <w:bookmarkStart w:id="33" w:name="_Toc25026"/>
      <w:bookmarkStart w:id="34" w:name="_Toc23103"/>
      <w:bookmarkStart w:id="35" w:name="_Toc11356"/>
      <w:bookmarkStart w:id="36" w:name="_Toc20629"/>
      <w:bookmarkStart w:id="37" w:name="_Toc158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（1）当五指山市农村公路出现交通中断或较长时间阻塞，需进行及时疏通，以保障交通能力、维护交通秩序。</w:t>
      </w:r>
      <w:bookmarkEnd w:id="30"/>
      <w:bookmarkEnd w:id="31"/>
      <w:bookmarkEnd w:id="32"/>
      <w:bookmarkEnd w:id="33"/>
      <w:bookmarkEnd w:id="34"/>
      <w:bookmarkEnd w:id="35"/>
      <w:bookmarkEnd w:id="36"/>
      <w:bookmarkEnd w:id="37"/>
      <w:bookmarkStart w:id="38" w:name="_Toc17486"/>
      <w:bookmarkStart w:id="39" w:name="_Toc29459"/>
      <w:bookmarkStart w:id="40" w:name="_Toc13526"/>
      <w:bookmarkStart w:id="41" w:name="_Toc1499"/>
      <w:bookmarkStart w:id="42" w:name="_Toc14082"/>
      <w:bookmarkStart w:id="43" w:name="_Toc5606"/>
      <w:bookmarkStart w:id="44" w:name="_Toc6474"/>
      <w:bookmarkStart w:id="45" w:name="_Toc218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（2）当五指山市农村公路及其附属设施遭到严重破坏，丧失正常使用功能，需迅速恢复、抢修、加固，以确保运输畅通的突发事件应急行动，保护交通设施、保障安全通行。</w:t>
      </w:r>
      <w:bookmarkEnd w:id="38"/>
      <w:bookmarkEnd w:id="39"/>
      <w:bookmarkEnd w:id="40"/>
      <w:bookmarkEnd w:id="41"/>
      <w:bookmarkEnd w:id="42"/>
      <w:bookmarkEnd w:id="43"/>
      <w:bookmarkEnd w:id="44"/>
      <w:bookmarkEnd w:id="45"/>
      <w:bookmarkStart w:id="46" w:name="_Toc29795"/>
      <w:bookmarkStart w:id="47" w:name="_Toc28661"/>
      <w:bookmarkStart w:id="48" w:name="_Toc1300"/>
      <w:bookmarkStart w:id="49" w:name="_Toc8977"/>
      <w:bookmarkStart w:id="50" w:name="_Toc1"/>
      <w:bookmarkStart w:id="51" w:name="_Toc22649"/>
      <w:bookmarkStart w:id="52" w:name="_Toc12569"/>
      <w:bookmarkStart w:id="53" w:name="_Toc929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（3）当五指山市内出现较大（Ⅲ级）及以下交通事故，需进行应急安排和事故处置，以保证伤亡人员能够得到及时救助。</w:t>
      </w:r>
      <w:bookmarkEnd w:id="46"/>
      <w:bookmarkEnd w:id="47"/>
      <w:bookmarkEnd w:id="48"/>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54" w:name="_Toc1438"/>
      <w:bookmarkStart w:id="55" w:name="_Toc20927"/>
      <w:bookmarkStart w:id="56" w:name="_Toc167"/>
      <w:bookmarkStart w:id="57" w:name="_Toc6645"/>
      <w:bookmarkStart w:id="58" w:name="_Toc2340"/>
      <w:bookmarkStart w:id="59" w:name="_Toc5946"/>
      <w:bookmarkStart w:id="60" w:name="_Toc26631"/>
      <w:bookmarkStart w:id="61" w:name="_Toc20559"/>
      <w:r>
        <w:rPr>
          <w:rFonts w:hint="eastAsia" w:ascii="仿宋_GB2312" w:hAnsi="仿宋_GB2312" w:eastAsia="仿宋_GB2312" w:cs="仿宋_GB2312"/>
          <w:b w:val="0"/>
          <w:bCs w:val="0"/>
          <w:color w:val="auto"/>
          <w:kern w:val="0"/>
          <w:sz w:val="32"/>
          <w:szCs w:val="32"/>
          <w:highlight w:val="none"/>
          <w:lang w:val="zh-CN" w:eastAsia="zh-CN" w:bidi="ar-SA"/>
        </w:rPr>
        <w:t>（4）当五指山市公路交通工程建设出现险情或事故，需采取积极防范、救援措施，以保障从业人员及人民群众的生命财产安全。</w:t>
      </w:r>
      <w:bookmarkEnd w:id="54"/>
      <w:bookmarkEnd w:id="55"/>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62" w:name="_Toc8213"/>
      <w:bookmarkStart w:id="63" w:name="_Toc1509"/>
      <w:bookmarkStart w:id="64" w:name="_Toc15451"/>
      <w:bookmarkStart w:id="65" w:name="_Toc29879"/>
      <w:bookmarkStart w:id="66" w:name="_Toc24394"/>
      <w:bookmarkStart w:id="67" w:name="_Toc22932"/>
      <w:bookmarkStart w:id="68" w:name="_Toc24735"/>
      <w:bookmarkStart w:id="69" w:name="_Toc27765"/>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5</w:t>
      </w:r>
      <w:r>
        <w:rPr>
          <w:rFonts w:hint="eastAsia" w:ascii="仿宋_GB2312" w:hAnsi="仿宋_GB2312" w:eastAsia="仿宋_GB2312" w:cs="仿宋_GB2312"/>
          <w:b w:val="0"/>
          <w:bCs w:val="0"/>
          <w:color w:val="auto"/>
          <w:kern w:val="0"/>
          <w:sz w:val="32"/>
          <w:szCs w:val="32"/>
          <w:highlight w:val="none"/>
          <w:lang w:val="zh-CN" w:eastAsia="zh-CN" w:bidi="ar-SA"/>
        </w:rPr>
        <w:t>）当市交通运输局管辖范围出现涉及交通运输领域或需要本局协助处置的群体性上访事件。</w:t>
      </w:r>
      <w:bookmarkEnd w:id="62"/>
      <w:bookmarkEnd w:id="63"/>
      <w:bookmarkEnd w:id="64"/>
      <w:bookmarkEnd w:id="65"/>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70" w:name="_Toc16624"/>
      <w:bookmarkStart w:id="71" w:name="_Toc17807"/>
      <w:bookmarkStart w:id="72" w:name="_Toc13583"/>
      <w:bookmarkStart w:id="73" w:name="_Toc6939"/>
      <w:bookmarkStart w:id="74" w:name="_Toc27410"/>
      <w:bookmarkStart w:id="75" w:name="_Toc3212"/>
      <w:bookmarkStart w:id="76" w:name="_Toc15888"/>
      <w:bookmarkStart w:id="77" w:name="_Toc6336"/>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6</w:t>
      </w:r>
      <w:r>
        <w:rPr>
          <w:rFonts w:hint="eastAsia" w:ascii="仿宋_GB2312" w:hAnsi="仿宋_GB2312" w:eastAsia="仿宋_GB2312" w:cs="仿宋_GB2312"/>
          <w:b w:val="0"/>
          <w:bCs w:val="0"/>
          <w:color w:val="auto"/>
          <w:kern w:val="0"/>
          <w:sz w:val="32"/>
          <w:szCs w:val="32"/>
          <w:highlight w:val="none"/>
          <w:lang w:val="zh-CN" w:eastAsia="zh-CN" w:bidi="ar-SA"/>
        </w:rPr>
        <w:t>）当发生突发事件时，需市交通运输局组织调配各种运输力量，以保证应急人员和物资的运输。</w:t>
      </w:r>
      <w:bookmarkEnd w:id="70"/>
      <w:bookmarkEnd w:id="71"/>
      <w:bookmarkEnd w:id="72"/>
      <w:bookmarkEnd w:id="73"/>
      <w:bookmarkEnd w:id="74"/>
      <w:bookmarkEnd w:id="75"/>
      <w:bookmarkEnd w:id="76"/>
      <w:bookmarkEnd w:id="7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78" w:name="_Toc7051"/>
      <w:bookmarkStart w:id="79" w:name="_Toc32035"/>
      <w:bookmarkStart w:id="80" w:name="_Toc31228"/>
      <w:bookmarkStart w:id="81" w:name="_Toc12930"/>
      <w:bookmarkStart w:id="82" w:name="_Toc6946"/>
      <w:bookmarkStart w:id="83" w:name="_Toc23340"/>
      <w:bookmarkStart w:id="84" w:name="_Toc21616"/>
      <w:bookmarkStart w:id="85" w:name="_Toc25977"/>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7</w:t>
      </w:r>
      <w:r>
        <w:rPr>
          <w:rFonts w:hint="eastAsia" w:ascii="仿宋_GB2312" w:hAnsi="仿宋_GB2312" w:eastAsia="仿宋_GB2312" w:cs="仿宋_GB2312"/>
          <w:b w:val="0"/>
          <w:bCs w:val="0"/>
          <w:color w:val="auto"/>
          <w:kern w:val="0"/>
          <w:sz w:val="32"/>
          <w:szCs w:val="32"/>
          <w:highlight w:val="none"/>
          <w:lang w:val="zh-CN" w:eastAsia="zh-CN" w:bidi="ar-SA"/>
        </w:rPr>
        <w:t>）当出现重大疾病、疫情需要市交通运输局参与或协助的公共卫生事件。</w:t>
      </w:r>
      <w:bookmarkEnd w:id="78"/>
      <w:bookmarkEnd w:id="79"/>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bookmarkStart w:id="86" w:name="_Toc28998"/>
      <w:bookmarkStart w:id="87" w:name="_Toc19316"/>
      <w:bookmarkStart w:id="88" w:name="_Toc26804"/>
      <w:bookmarkStart w:id="89" w:name="_Toc11671"/>
      <w:bookmarkStart w:id="90" w:name="_Toc9907"/>
      <w:r>
        <w:rPr>
          <w:rFonts w:hint="eastAsia" w:ascii="黑体" w:hAnsi="黑体" w:eastAsia="黑体" w:cs="黑体"/>
          <w:sz w:val="32"/>
          <w:szCs w:val="32"/>
          <w:highlight w:val="none"/>
        </w:rPr>
        <w:t>1.5工作原则</w:t>
      </w:r>
      <w:bookmarkEnd w:id="86"/>
      <w:bookmarkEnd w:id="87"/>
      <w:bookmarkEnd w:id="88"/>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（1）以人为本。坚持以人民为中心，一切从人民利益出发，一切对人民负责，最大限度地减少突发事件造成的影响。切实加强应急救援人员的安全防护，充分发挥专业救援力量和社会力量的作用。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（2）分级负责。</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市委、市政府的领导下，市交通运输局</w:t>
      </w:r>
      <w:r>
        <w:rPr>
          <w:rFonts w:hint="eastAsia" w:ascii="仿宋_GB2312" w:hAnsi="仿宋_GB2312" w:eastAsia="仿宋_GB2312" w:cs="仿宋_GB2312"/>
          <w:sz w:val="32"/>
          <w:szCs w:val="32"/>
          <w:highlight w:val="none"/>
          <w:lang w:val="en-US" w:eastAsia="zh-CN"/>
        </w:rPr>
        <w:t>全面组织</w:t>
      </w:r>
      <w:r>
        <w:rPr>
          <w:rFonts w:hint="eastAsia" w:ascii="仿宋_GB2312" w:hAnsi="仿宋_GB2312" w:eastAsia="仿宋_GB2312" w:cs="仿宋_GB2312"/>
          <w:sz w:val="32"/>
          <w:szCs w:val="32"/>
          <w:highlight w:val="none"/>
        </w:rPr>
        <w:t>全市交通运输</w:t>
      </w:r>
      <w:r>
        <w:rPr>
          <w:rFonts w:hint="eastAsia" w:ascii="仿宋_GB2312" w:hAnsi="仿宋_GB2312" w:eastAsia="仿宋_GB2312" w:cs="仿宋_GB2312"/>
          <w:sz w:val="32"/>
          <w:szCs w:val="32"/>
          <w:highlight w:val="none"/>
          <w:lang w:eastAsia="zh-CN"/>
        </w:rPr>
        <w:t>行业</w:t>
      </w:r>
      <w:r>
        <w:rPr>
          <w:rFonts w:hint="eastAsia" w:ascii="仿宋_GB2312" w:hAnsi="仿宋_GB2312" w:eastAsia="仿宋_GB2312" w:cs="仿宋_GB2312"/>
          <w:sz w:val="32"/>
          <w:szCs w:val="32"/>
          <w:highlight w:val="none"/>
        </w:rPr>
        <w:t>突发事件的应对工作，</w:t>
      </w:r>
      <w:r>
        <w:rPr>
          <w:rFonts w:hint="eastAsia" w:ascii="仿宋_GB2312" w:hAnsi="仿宋_GB2312" w:eastAsia="仿宋_GB2312" w:cs="仿宋_GB2312"/>
          <w:sz w:val="32"/>
          <w:szCs w:val="32"/>
          <w:highlight w:val="none"/>
          <w:lang w:val="en-US" w:eastAsia="zh-CN"/>
        </w:rPr>
        <w:t>市委、市政府统筹指导，必要时协调资源予以支持，</w:t>
      </w:r>
      <w:r>
        <w:rPr>
          <w:rFonts w:hint="eastAsia" w:ascii="仿宋_GB2312" w:hAnsi="仿宋_GB2312" w:eastAsia="仿宋_GB2312" w:cs="仿宋_GB2312"/>
          <w:sz w:val="32"/>
          <w:szCs w:val="32"/>
          <w:highlight w:val="none"/>
        </w:rPr>
        <w:t>实行属地管理、条块结合、上下联动、部门协调，落实责任人及其指挥权限，实行岗位责任制，实现分级响应、分级负责。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预防为主。贯彻落实“安全第一，预防为主，综合治理”的方针，坚持应急与预防相结合，常态与非常态相结合。建立和完善监测和预警体系，做好常态下的风险评估、物资储备、队伍建设、应急演练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（4）协同应对。充分利用应急资源，发挥各</w:t>
      </w:r>
      <w:r>
        <w:rPr>
          <w:rFonts w:hint="eastAsia" w:ascii="仿宋_GB2312" w:hAnsi="仿宋_GB2312" w:eastAsia="仿宋_GB2312" w:cs="仿宋_GB2312"/>
          <w:sz w:val="32"/>
          <w:szCs w:val="32"/>
          <w:highlight w:val="none"/>
          <w:lang w:val="en-US" w:eastAsia="zh-CN"/>
        </w:rPr>
        <w:t>行业主管</w:t>
      </w:r>
      <w:r>
        <w:rPr>
          <w:rFonts w:hint="eastAsia" w:ascii="仿宋_GB2312" w:hAnsi="仿宋_GB2312" w:eastAsia="仿宋_GB2312" w:cs="仿宋_GB2312"/>
          <w:sz w:val="32"/>
          <w:szCs w:val="32"/>
          <w:highlight w:val="none"/>
        </w:rPr>
        <w:t>部门和社会公众的作用，建立健全应急处置协同联动机制，明确各方责任，形成统一指挥、功能齐全、反应灵敏、协调有序、运转高效的应急管理体制。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科学应对。充分利用现代化的技术手段，做好预测、预警工作，充分发挥专家队伍和专业人员的作用，提高应对突发事件的科学决策和指挥能力。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bookmarkStart w:id="91" w:name="_Toc25319"/>
      <w:bookmarkStart w:id="92" w:name="_Toc15121"/>
      <w:bookmarkStart w:id="93" w:name="_Toc7344"/>
      <w:bookmarkStart w:id="94" w:name="_Toc5046"/>
      <w:bookmarkStart w:id="95" w:name="_Toc17102"/>
      <w:r>
        <w:rPr>
          <w:rFonts w:hint="eastAsia" w:ascii="黑体" w:hAnsi="黑体" w:eastAsia="黑体" w:cs="黑体"/>
          <w:sz w:val="32"/>
          <w:szCs w:val="32"/>
          <w:highlight w:val="none"/>
        </w:rPr>
        <w:t>1.6应急预案</w:t>
      </w:r>
      <w:bookmarkEnd w:id="91"/>
      <w:r>
        <w:rPr>
          <w:rFonts w:hint="eastAsia" w:ascii="黑体" w:hAnsi="黑体" w:eastAsia="黑体" w:cs="黑体"/>
          <w:sz w:val="32"/>
          <w:szCs w:val="32"/>
          <w:highlight w:val="none"/>
          <w:lang w:eastAsia="zh-CN"/>
        </w:rPr>
        <w:t>体系</w:t>
      </w:r>
      <w:bookmarkEnd w:id="92"/>
      <w:bookmarkEnd w:id="93"/>
      <w:bookmarkEnd w:id="94"/>
      <w:bookmarkEnd w:id="9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五指山市人民政府</w:t>
      </w:r>
      <w:r>
        <w:rPr>
          <w:rFonts w:hint="eastAsia" w:ascii="仿宋_GB2312" w:hAnsi="仿宋_GB2312" w:eastAsia="仿宋_GB2312" w:cs="仿宋_GB2312"/>
          <w:sz w:val="32"/>
          <w:szCs w:val="32"/>
          <w:highlight w:val="none"/>
          <w:lang w:val="zh-CN"/>
        </w:rPr>
        <w:t>突发事件应急预案体系</w:t>
      </w:r>
      <w:r>
        <w:rPr>
          <w:rFonts w:hint="eastAsia" w:ascii="仿宋_GB2312" w:hAnsi="仿宋_GB2312" w:eastAsia="仿宋_GB2312" w:cs="仿宋_GB2312"/>
          <w:sz w:val="32"/>
          <w:szCs w:val="32"/>
          <w:highlight w:val="none"/>
          <w:lang w:val="en-US" w:eastAsia="zh-CN"/>
        </w:rPr>
        <w:t>按照</w:t>
      </w:r>
      <w:r>
        <w:rPr>
          <w:rFonts w:hint="eastAsia" w:ascii="仿宋_GB2312" w:hAnsi="仿宋_GB2312" w:eastAsia="仿宋_GB2312" w:cs="仿宋_GB2312"/>
          <w:sz w:val="32"/>
          <w:szCs w:val="32"/>
          <w:highlight w:val="none"/>
          <w:lang w:val="zh-CN"/>
        </w:rPr>
        <w:t>制定主体划分，分为政府及其部门应急预案、单位和基层组织应急预案两大类。</w:t>
      </w:r>
      <w:r>
        <w:rPr>
          <w:rFonts w:hint="eastAsia" w:ascii="仿宋_GB2312" w:hAnsi="仿宋_GB2312" w:eastAsia="仿宋_GB2312" w:cs="仿宋_GB2312"/>
          <w:sz w:val="32"/>
          <w:szCs w:val="32"/>
          <w:highlight w:val="none"/>
          <w:lang w:val="zh-CN" w:eastAsia="zh-CN"/>
        </w:rPr>
        <w:t>在市政府及其市直相关单位各专项预案框架内，涉及到</w:t>
      </w:r>
      <w:r>
        <w:rPr>
          <w:rFonts w:hint="eastAsia" w:ascii="仿宋_GB2312" w:hAnsi="仿宋_GB2312" w:eastAsia="仿宋_GB2312" w:cs="仿宋_GB2312"/>
          <w:sz w:val="32"/>
          <w:szCs w:val="32"/>
          <w:highlight w:val="none"/>
          <w:lang w:val="en-US" w:eastAsia="zh-CN"/>
        </w:rPr>
        <w:t>市交通运输</w:t>
      </w:r>
      <w:r>
        <w:rPr>
          <w:rFonts w:hint="eastAsia" w:ascii="仿宋_GB2312" w:hAnsi="仿宋_GB2312" w:eastAsia="仿宋_GB2312" w:cs="仿宋_GB2312"/>
          <w:sz w:val="32"/>
          <w:szCs w:val="32"/>
          <w:highlight w:val="none"/>
          <w:lang w:val="zh-CN" w:eastAsia="zh-CN"/>
        </w:rPr>
        <w:t>局的职能职责，依据本预案形成体系。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当发生</w:t>
      </w:r>
      <w:r>
        <w:rPr>
          <w:rFonts w:hint="eastAsia" w:ascii="仿宋_GB2312" w:hAnsi="仿宋_GB2312" w:eastAsia="仿宋_GB2312" w:cs="仿宋_GB2312"/>
          <w:sz w:val="32"/>
          <w:szCs w:val="32"/>
          <w:highlight w:val="none"/>
          <w:lang w:val="en-US" w:eastAsia="zh-CN"/>
        </w:rPr>
        <w:t>交通运输</w:t>
      </w:r>
      <w:r>
        <w:rPr>
          <w:rFonts w:hint="eastAsia" w:ascii="仿宋_GB2312" w:hAnsi="仿宋_GB2312" w:eastAsia="仿宋_GB2312" w:cs="仿宋_GB2312"/>
          <w:sz w:val="32"/>
          <w:szCs w:val="32"/>
          <w:highlight w:val="none"/>
        </w:rPr>
        <w:t>突发事件，若可根据</w:t>
      </w:r>
      <w:r>
        <w:rPr>
          <w:rFonts w:hint="eastAsia" w:ascii="仿宋_GB2312" w:hAnsi="仿宋_GB2312" w:eastAsia="仿宋_GB2312" w:cs="仿宋_GB2312"/>
          <w:sz w:val="32"/>
          <w:szCs w:val="32"/>
          <w:highlight w:val="none"/>
          <w:lang w:val="en-US" w:eastAsia="zh-CN"/>
        </w:rPr>
        <w:t>局属</w:t>
      </w:r>
      <w:r>
        <w:rPr>
          <w:rFonts w:hint="eastAsia" w:ascii="仿宋_GB2312" w:hAnsi="仿宋_GB2312" w:eastAsia="仿宋_GB2312" w:cs="仿宋_GB2312"/>
          <w:sz w:val="32"/>
          <w:szCs w:val="32"/>
          <w:highlight w:val="none"/>
        </w:rPr>
        <w:t>某单一应急预案启动应急响应进行应对时，按该应急预案启动应急响应。若事态复杂或随着事件的发展，需市交通运输局组织协调系统内多部门联合提供交通运输综合应急保障时，根据本预案启动相应级别的应急响应，原已启动的应急响应根据本预案进行相应调整，应急处置工作结束后，一并终止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Cs w:val="32"/>
          <w:highlight w:val="none"/>
        </w:rPr>
      </w:pPr>
      <w:r>
        <w:rPr>
          <w:rFonts w:hint="eastAsia" w:ascii="仿宋_GB2312" w:hAnsi="仿宋_GB2312" w:eastAsia="仿宋_GB2312" w:cs="仿宋_GB2312"/>
          <w:sz w:val="32"/>
          <w:szCs w:val="32"/>
          <w:highlight w:val="none"/>
          <w:lang w:val="en-US" w:eastAsia="zh-CN"/>
        </w:rPr>
        <w:t>本</w:t>
      </w:r>
      <w:r>
        <w:rPr>
          <w:rFonts w:hint="eastAsia" w:ascii="仿宋_GB2312" w:hAnsi="仿宋_GB2312" w:eastAsia="仿宋_GB2312" w:cs="仿宋_GB2312"/>
          <w:sz w:val="32"/>
          <w:szCs w:val="32"/>
          <w:highlight w:val="none"/>
          <w:lang w:val="zh-CN" w:eastAsia="zh-CN"/>
        </w:rPr>
        <w:t>市各交通运输行业管理、企业单位应结合自身实际，为及时应对可能发生的交通运输突发事件而制定的应急预案，由各单位</w:t>
      </w:r>
      <w:r>
        <w:rPr>
          <w:rFonts w:hint="eastAsia" w:ascii="仿宋_GB2312" w:hAnsi="仿宋_GB2312" w:eastAsia="仿宋_GB2312" w:cs="仿宋_GB2312"/>
          <w:sz w:val="32"/>
          <w:szCs w:val="32"/>
          <w:highlight w:val="none"/>
          <w:lang w:val="en-US" w:eastAsia="zh-CN"/>
        </w:rPr>
        <w:t>参照本</w:t>
      </w:r>
      <w:r>
        <w:rPr>
          <w:rFonts w:hint="eastAsia" w:ascii="仿宋_GB2312" w:hAnsi="仿宋_GB2312" w:eastAsia="仿宋_GB2312" w:cs="仿宋_GB2312"/>
          <w:sz w:val="32"/>
          <w:szCs w:val="32"/>
          <w:highlight w:val="none"/>
          <w:lang w:val="zh-CN" w:eastAsia="zh-CN"/>
        </w:rPr>
        <w:t>预案制定并实施，按照隶属关系、“谁主管报谁”原则报所在地交通运输行政主管部门备案。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bookmarkStart w:id="96" w:name="_Toc25985"/>
      <w:bookmarkStart w:id="97" w:name="_Toc15449"/>
      <w:bookmarkStart w:id="98" w:name="_Toc5726"/>
      <w:bookmarkStart w:id="99" w:name="_Toc29020"/>
      <w:bookmarkStart w:id="100" w:name="_Toc50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lang w:eastAsia="zh-CN"/>
        </w:rPr>
        <w:t>风险分析及应急资源调查</w:t>
      </w:r>
      <w:bookmarkEnd w:id="96"/>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bookmarkStart w:id="101" w:name="_Toc27117"/>
      <w:bookmarkStart w:id="102" w:name="_Toc29699"/>
      <w:bookmarkStart w:id="103" w:name="_Toc17850"/>
      <w:bookmarkStart w:id="104" w:name="_Toc15893"/>
      <w:bookmarkStart w:id="105" w:name="_Toc5278"/>
      <w:r>
        <w:rPr>
          <w:rFonts w:hint="eastAsia" w:ascii="黑体" w:hAnsi="黑体" w:eastAsia="黑体" w:cs="黑体"/>
          <w:sz w:val="32"/>
          <w:szCs w:val="32"/>
          <w:highlight w:val="none"/>
          <w:lang w:val="en-US" w:eastAsia="zh-CN"/>
        </w:rPr>
        <w:t>2.1风险分析</w:t>
      </w:r>
      <w:bookmarkEnd w:id="101"/>
      <w:bookmarkEnd w:id="102"/>
      <w:bookmarkEnd w:id="103"/>
      <w:bookmarkEnd w:id="104"/>
      <w:bookmarkEnd w:id="10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2.1.1总体风险性分析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指山市位于海南省中部山区，属典型的山区地貌，境内地形起伏，群山环抱，主要山脉为五指山山脉。降雨以台风雨为主，雨量充沛，是海南省的暴雨中心之一。7-11月为台风多发季节，台风往往伴随着强降雨，加上山区坡高谷深，地形条件极利于降雨后地表径流汇集，造成山洪灾害。要关注雨多路滑、视线不良、泥石流滑坡对道路运输的影响。从我国历次严重自然灾害时的交通运输应急反应来看，普遍存在公路管理部门、其他运输方式管理部门、公安交通管理部门以及政府其他相关部门间联动协调不充分的状况。受其五指山地形影响，在公路瘫痪后，由于难以快速进行抢修以及利用其他运输方式进行互补，应急救援物资运输保障难度较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2.2.2</w:t>
      </w:r>
      <w:r>
        <w:rPr>
          <w:rFonts w:hint="eastAsia" w:ascii="仿宋_GB2312" w:hAnsi="仿宋_GB2312" w:eastAsia="仿宋_GB2312" w:cs="仿宋_GB2312"/>
          <w:b/>
          <w:bCs/>
          <w:sz w:val="32"/>
          <w:szCs w:val="32"/>
          <w:highlight w:val="none"/>
          <w:lang w:eastAsia="zh-CN"/>
        </w:rPr>
        <w:t>道路运输风险性分析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lang w:eastAsia="zh-CN"/>
        </w:rPr>
        <w:t>年底，五指山市公路总里程达到</w:t>
      </w:r>
      <w:r>
        <w:rPr>
          <w:rFonts w:hint="eastAsia" w:ascii="仿宋_GB2312" w:hAnsi="仿宋_GB2312" w:eastAsia="仿宋_GB2312" w:cs="仿宋_GB2312"/>
          <w:sz w:val="32"/>
          <w:szCs w:val="32"/>
          <w:highlight w:val="none"/>
          <w:lang w:val="en-US" w:eastAsia="zh-CN"/>
        </w:rPr>
        <w:t>711.2</w:t>
      </w:r>
      <w:r>
        <w:rPr>
          <w:rFonts w:hint="eastAsia" w:ascii="仿宋_GB2312" w:hAnsi="仿宋_GB2312" w:eastAsia="仿宋_GB2312" w:cs="仿宋_GB2312"/>
          <w:sz w:val="32"/>
          <w:szCs w:val="32"/>
          <w:highlight w:val="none"/>
          <w:lang w:eastAsia="zh-CN"/>
        </w:rPr>
        <w:t>公里；城乡公交车</w:t>
      </w:r>
      <w:r>
        <w:rPr>
          <w:rFonts w:hint="eastAsia" w:ascii="仿宋_GB2312" w:hAnsi="仿宋_GB2312" w:eastAsia="仿宋_GB2312" w:cs="仿宋_GB2312"/>
          <w:sz w:val="32"/>
          <w:szCs w:val="32"/>
          <w:highlight w:val="none"/>
          <w:lang w:val="en-US" w:eastAsia="zh-CN"/>
        </w:rPr>
        <w:t>43</w:t>
      </w:r>
      <w:r>
        <w:rPr>
          <w:rFonts w:hint="eastAsia" w:ascii="仿宋_GB2312" w:hAnsi="仿宋_GB2312" w:eastAsia="仿宋_GB2312" w:cs="仿宋_GB2312"/>
          <w:sz w:val="32"/>
          <w:szCs w:val="32"/>
          <w:highlight w:val="none"/>
          <w:lang w:eastAsia="zh-CN"/>
        </w:rPr>
        <w:t>辆，线路</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条，日均客运量</w:t>
      </w:r>
      <w:r>
        <w:rPr>
          <w:rFonts w:hint="eastAsia" w:ascii="仿宋_GB2312" w:hAnsi="仿宋_GB2312" w:eastAsia="仿宋_GB2312" w:cs="仿宋_GB2312"/>
          <w:sz w:val="32"/>
          <w:szCs w:val="32"/>
          <w:highlight w:val="none"/>
          <w:lang w:val="en-US" w:eastAsia="zh-CN"/>
        </w:rPr>
        <w:t>1832</w:t>
      </w:r>
      <w:r>
        <w:rPr>
          <w:rFonts w:hint="eastAsia" w:ascii="仿宋_GB2312" w:hAnsi="仿宋_GB2312" w:eastAsia="仿宋_GB2312" w:cs="仿宋_GB2312"/>
          <w:sz w:val="32"/>
          <w:szCs w:val="32"/>
          <w:highlight w:val="none"/>
          <w:lang w:eastAsia="zh-CN"/>
        </w:rPr>
        <w:t>人次；农村客运车</w:t>
      </w:r>
      <w:r>
        <w:rPr>
          <w:rFonts w:hint="eastAsia" w:ascii="仿宋_GB2312" w:hAnsi="仿宋_GB2312" w:eastAsia="仿宋_GB2312" w:cs="仿宋_GB2312"/>
          <w:sz w:val="32"/>
          <w:szCs w:val="32"/>
          <w:highlight w:val="none"/>
          <w:lang w:val="en-US" w:eastAsia="zh-CN"/>
        </w:rPr>
        <w:t>19辆，线路6条，日均客运量112人次；</w:t>
      </w:r>
      <w:r>
        <w:rPr>
          <w:rFonts w:hint="eastAsia" w:ascii="仿宋_GB2312" w:hAnsi="仿宋_GB2312" w:eastAsia="仿宋_GB2312" w:cs="仿宋_GB2312"/>
          <w:sz w:val="32"/>
          <w:szCs w:val="32"/>
          <w:highlight w:val="none"/>
          <w:lang w:eastAsia="zh-CN"/>
        </w:rPr>
        <w:t>出租汽车</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lang w:eastAsia="zh-CN"/>
        </w:rPr>
        <w:t>台，</w:t>
      </w:r>
      <w:r>
        <w:rPr>
          <w:rFonts w:hint="eastAsia" w:ascii="仿宋_GB2312" w:hAnsi="仿宋_GB2312" w:eastAsia="仿宋_GB2312" w:cs="仿宋_GB2312"/>
          <w:sz w:val="32"/>
          <w:szCs w:val="32"/>
          <w:highlight w:val="none"/>
          <w:lang w:val="en-US" w:eastAsia="zh-CN"/>
        </w:rPr>
        <w:t>网约车9辆，市区纯电动微公交30辆</w:t>
      </w:r>
      <w:r>
        <w:rPr>
          <w:rFonts w:hint="eastAsia" w:ascii="仿宋_GB2312" w:hAnsi="仿宋_GB2312" w:eastAsia="仿宋_GB2312" w:cs="仿宋_GB2312"/>
          <w:sz w:val="32"/>
          <w:szCs w:val="32"/>
          <w:highlight w:val="none"/>
          <w:lang w:eastAsia="zh-CN"/>
        </w:rPr>
        <w:t>。根据实地</w:t>
      </w:r>
      <w:r>
        <w:rPr>
          <w:rFonts w:hint="eastAsia" w:ascii="仿宋_GB2312" w:hAnsi="仿宋_GB2312" w:eastAsia="仿宋_GB2312" w:cs="仿宋_GB2312"/>
          <w:sz w:val="32"/>
          <w:szCs w:val="32"/>
          <w:highlight w:val="none"/>
          <w:lang w:val="en-US" w:eastAsia="zh-CN"/>
        </w:rPr>
        <w:t>调研，五指山市</w:t>
      </w:r>
      <w:r>
        <w:rPr>
          <w:rFonts w:hint="eastAsia" w:ascii="仿宋_GB2312" w:hAnsi="仿宋_GB2312" w:eastAsia="仿宋_GB2312" w:cs="仿宋_GB2312"/>
          <w:sz w:val="32"/>
          <w:szCs w:val="32"/>
          <w:highlight w:val="none"/>
          <w:lang w:eastAsia="zh-CN"/>
        </w:rPr>
        <w:t>易发生交通灾害路段多为急转弯、上长坡、下长坡、易塌方路段等（五指山市易发生交通灾害路段详见附录</w:t>
      </w:r>
      <w:r>
        <w:rPr>
          <w:rFonts w:hint="eastAsia" w:ascii="仿宋_GB2312" w:hAnsi="仿宋_GB2312" w:eastAsia="仿宋_GB2312" w:cs="仿宋_GB2312"/>
          <w:sz w:val="32"/>
          <w:szCs w:val="32"/>
          <w:highlight w:val="none"/>
          <w:lang w:val="en-US" w:eastAsia="zh-CN"/>
        </w:rPr>
        <w:t>9.10</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五指山市因山区地貌决定，交通路况较为复杂，发生道路交通事故系数较高。</w:t>
      </w:r>
      <w:r>
        <w:rPr>
          <w:rFonts w:hint="eastAsia" w:ascii="仿宋_GB2312" w:hAnsi="仿宋_GB2312" w:eastAsia="仿宋_GB2312" w:cs="仿宋_GB2312"/>
          <w:sz w:val="32"/>
          <w:szCs w:val="32"/>
          <w:highlight w:val="none"/>
        </w:rPr>
        <w:t>近年来交通事故呈上升趋势</w:t>
      </w:r>
      <w:r>
        <w:rPr>
          <w:rFonts w:hint="eastAsia" w:ascii="仿宋_GB2312" w:hAnsi="仿宋_GB2312" w:eastAsia="仿宋_GB2312" w:cs="仿宋_GB2312"/>
          <w:sz w:val="32"/>
          <w:szCs w:val="32"/>
          <w:highlight w:val="none"/>
          <w:lang w:eastAsia="zh-CN"/>
        </w:rPr>
        <w:t>，特别是在县、乡道之间，应做好交通路网安全管控；同时漫水桥、漫水路、急弯处和滑坡点较多，</w:t>
      </w:r>
      <w:r>
        <w:rPr>
          <w:rFonts w:hint="eastAsia" w:ascii="仿宋_GB2312" w:hAnsi="仿宋_GB2312" w:eastAsia="仿宋_GB2312" w:cs="仿宋_GB2312"/>
          <w:sz w:val="32"/>
          <w:szCs w:val="32"/>
          <w:highlight w:val="none"/>
        </w:rPr>
        <w:t>易</w:t>
      </w:r>
      <w:r>
        <w:rPr>
          <w:rFonts w:hint="eastAsia" w:ascii="仿宋_GB2312" w:hAnsi="仿宋_GB2312" w:eastAsia="仿宋_GB2312" w:cs="仿宋_GB2312"/>
          <w:sz w:val="32"/>
          <w:szCs w:val="32"/>
          <w:highlight w:val="none"/>
          <w:lang w:eastAsia="zh-CN"/>
        </w:rPr>
        <w:t>发生交通事故造成人员伤亡。当前，五指山市交通运输行业安全生产治理能力和治理水平还不够高，</w:t>
      </w:r>
      <w:r>
        <w:rPr>
          <w:rFonts w:hint="eastAsia" w:ascii="仿宋_GB2312" w:hAnsi="仿宋_GB2312" w:eastAsia="仿宋_GB2312" w:cs="仿宋_GB2312"/>
          <w:sz w:val="32"/>
          <w:szCs w:val="32"/>
          <w:highlight w:val="none"/>
          <w:lang w:val="en-US" w:eastAsia="zh-CN"/>
        </w:rPr>
        <w:t>安全基础设施还不完善，车辆领域安全技术运用和装备建设水平相对较低，安全生产专业抢险救援队伍力量薄弱，应急保障设施依然欠缺，公路应急保障设施仍不满足安全发展的要求，事后补救和自我保护能力不强，一旦发生灾难事故，容易造成生命财产重大损失，</w:t>
      </w:r>
      <w:r>
        <w:rPr>
          <w:rFonts w:hint="eastAsia" w:ascii="仿宋_GB2312" w:hAnsi="仿宋_GB2312" w:eastAsia="仿宋_GB2312" w:cs="仿宋_GB2312"/>
          <w:sz w:val="32"/>
          <w:szCs w:val="32"/>
          <w:highlight w:val="none"/>
          <w:lang w:eastAsia="zh-CN"/>
        </w:rPr>
        <w:t>交通运输行业面临的安全形势更加严峻、任务更加繁重。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bookmarkStart w:id="106" w:name="_Toc8747"/>
      <w:bookmarkStart w:id="107" w:name="_Toc14148"/>
      <w:bookmarkStart w:id="108" w:name="_Toc29041"/>
      <w:bookmarkStart w:id="109" w:name="_Toc4173_WPSOffice_Level2"/>
      <w:bookmarkStart w:id="110" w:name="_Toc28265"/>
      <w:bookmarkStart w:id="111" w:name="_Toc13549_WPSOffice_Level2"/>
      <w:bookmarkStart w:id="112" w:name="_Toc9801"/>
      <w:r>
        <w:rPr>
          <w:rFonts w:hint="eastAsia" w:ascii="黑体" w:hAnsi="黑体" w:eastAsia="黑体" w:cs="黑体"/>
          <w:sz w:val="32"/>
          <w:szCs w:val="32"/>
          <w:highlight w:val="none"/>
          <w:lang w:val="en-US" w:eastAsia="zh-CN"/>
        </w:rPr>
        <w:t>2.2应急资源调查</w:t>
      </w:r>
      <w:bookmarkEnd w:id="106"/>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2.2.1人力资源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（1）主要力量：五指山市交通运输局应急力量主要依托以交通运输主管部门、运输企业等职工组成的应急队伍为突击力量。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（2）专业力量：依托五指山市交通运输局成立的专家队伍辅助决策的应急队伍。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（3）基层力量：依托以基层干部、交通运输主管部门、运输企业职工、社会志愿者力量组成的民兵应急队伍。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2.2.2陆上资源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（1）道路交通：依托市交通运输局城市公交和客货运车辆运力；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（2）物资运力：依托五指山公路分局、市交通运输局、交通运输企业等物资装备、应急抢险救灾车辆。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2.2.3医疗资源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五指山市现有医疗卫生机构13家，其中综合医院4家，疾病预防控制中心1个，妇幼保健机构1个，乡镇卫生机构7家。全市共有病床位1433张，各类医疗卫生技术人员1320人。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2.2.4避难场所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五指山市建有多个临时安置点和避难场所，建成“三月三”广场、五指山中学、平山医院停车场、红星中心学校等25个临时安置点。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2.2.5应急装备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目前，市交通运输局和</w:t>
      </w:r>
      <w:r>
        <w:rPr>
          <w:rFonts w:hint="eastAsia" w:ascii="仿宋_GB2312" w:hAnsi="仿宋_GB2312" w:eastAsia="仿宋_GB2312" w:cs="仿宋_GB2312"/>
          <w:sz w:val="32"/>
          <w:szCs w:val="32"/>
          <w:highlight w:val="none"/>
          <w:lang w:val="zh-CN" w:eastAsia="zh-CN"/>
        </w:rPr>
        <w:t>相关交通</w:t>
      </w:r>
      <w:r>
        <w:rPr>
          <w:rFonts w:hint="eastAsia" w:ascii="仿宋_GB2312" w:hAnsi="仿宋_GB2312" w:eastAsia="仿宋_GB2312" w:cs="仿宋_GB2312"/>
          <w:sz w:val="32"/>
          <w:szCs w:val="32"/>
          <w:highlight w:val="none"/>
          <w:lang w:val="en-US" w:eastAsia="zh-CN"/>
        </w:rPr>
        <w:t>企业、客运站、货运站、道路运输车辆维修站点都配备相应的应急救援装备，基本满足应急所需。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2.2.6应急物资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（1）防汛物资：根据交通运输局现有防汛物资储备情况，进一步统计和整理，并纳入防汛物资台帐。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（2）救灾物资：市交通运输局根据五指山市的人口增减、平时消耗、灾情影响、灾后救助等情况进一步优化物资储备和采购计划。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bookmarkStart w:id="113" w:name="_Toc18789"/>
      <w:bookmarkStart w:id="114" w:name="_Toc6810"/>
      <w:bookmarkStart w:id="115" w:name="_Toc18401"/>
      <w:bookmarkStart w:id="116" w:name="_Toc13350"/>
      <w:bookmarkStart w:id="117" w:name="_Toc24936"/>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w:t>
      </w:r>
      <w:bookmarkEnd w:id="113"/>
      <w:r>
        <w:rPr>
          <w:rFonts w:hint="eastAsia" w:ascii="黑体" w:hAnsi="黑体" w:eastAsia="黑体" w:cs="黑体"/>
          <w:sz w:val="32"/>
          <w:szCs w:val="32"/>
          <w:highlight w:val="none"/>
        </w:rPr>
        <w:t>应急管理组织机构</w:t>
      </w:r>
      <w:r>
        <w:rPr>
          <w:rFonts w:hint="eastAsia" w:ascii="黑体" w:hAnsi="黑体" w:eastAsia="黑体" w:cs="黑体"/>
          <w:sz w:val="32"/>
          <w:szCs w:val="32"/>
          <w:highlight w:val="none"/>
          <w:lang w:val="zh-CN"/>
        </w:rPr>
        <w:t>与职责</w:t>
      </w:r>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bookmarkStart w:id="118" w:name="_Toc28920"/>
      <w:bookmarkStart w:id="119" w:name="_Toc24583"/>
      <w:bookmarkStart w:id="120" w:name="_Toc5464"/>
      <w:bookmarkStart w:id="121" w:name="_Toc31692"/>
      <w:bookmarkStart w:id="122" w:name="_Toc28830"/>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.1</w:t>
      </w:r>
      <w:bookmarkEnd w:id="118"/>
      <w:r>
        <w:rPr>
          <w:rFonts w:hint="eastAsia" w:ascii="黑体" w:hAnsi="黑体" w:eastAsia="黑体" w:cs="黑体"/>
          <w:sz w:val="32"/>
          <w:szCs w:val="32"/>
          <w:highlight w:val="none"/>
          <w:lang w:eastAsia="zh-CN"/>
        </w:rPr>
        <w:t>组织机构</w:t>
      </w:r>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bookmarkStart w:id="123" w:name="_Toc4151"/>
      <w:bookmarkStart w:id="124" w:name="_Toc5774"/>
      <w:bookmarkStart w:id="125" w:name="_Toc135"/>
      <w:bookmarkStart w:id="126" w:name="_Toc14061"/>
      <w:bookmarkStart w:id="127" w:name="_Toc7307"/>
      <w:bookmarkStart w:id="128" w:name="_Toc7488"/>
      <w:bookmarkStart w:id="129" w:name="_Toc21931"/>
      <w:bookmarkStart w:id="130" w:name="_Toc6205"/>
      <w:bookmarkStart w:id="131" w:name="_Toc30325"/>
      <w:bookmarkStart w:id="132" w:name="_Toc24330"/>
      <w:bookmarkStart w:id="133" w:name="_Toc25484"/>
      <w:bookmarkStart w:id="134" w:name="_Toc13922"/>
      <w:r>
        <w:rPr>
          <w:rFonts w:hint="eastAsia" w:ascii="仿宋_GB2312" w:hAnsi="仿宋_GB2312" w:eastAsia="仿宋_GB2312" w:cs="仿宋_GB2312"/>
          <w:b/>
          <w:bCs/>
          <w:sz w:val="32"/>
          <w:szCs w:val="32"/>
          <w:highlight w:val="none"/>
          <w:lang w:val="en-US" w:eastAsia="zh-CN"/>
        </w:rPr>
        <w:t>3.1.1领导机构</w:t>
      </w:r>
      <w:bookmarkEnd w:id="123"/>
      <w:bookmarkEnd w:id="124"/>
      <w:bookmarkEnd w:id="125"/>
      <w:bookmarkEnd w:id="126"/>
      <w:bookmarkEnd w:id="127"/>
      <w:bookmarkEnd w:id="128"/>
      <w:bookmarkEnd w:id="129"/>
      <w:bookmarkEnd w:id="130"/>
      <w:bookmarkEnd w:id="131"/>
      <w:bookmarkEnd w:id="132"/>
      <w:bookmarkEnd w:id="133"/>
      <w:bookmarkEnd w:id="134"/>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在市委、市政府领导下，按照市安委会的统一要求，发生较大及以下突发事件后，成立市交通运输应急领导机构，组织、指挥、协调突发事件现场应急处置工作，</w:t>
      </w:r>
      <w:r>
        <w:rPr>
          <w:rFonts w:hint="default" w:ascii="仿宋_GB2312" w:hAnsi="仿宋_GB2312" w:eastAsia="仿宋_GB2312" w:cs="仿宋_GB2312"/>
          <w:color w:val="auto"/>
          <w:kern w:val="0"/>
          <w:sz w:val="32"/>
          <w:szCs w:val="32"/>
          <w:highlight w:val="none"/>
          <w:lang w:val="en-US" w:eastAsia="zh-CN" w:bidi="ar-SA"/>
        </w:rPr>
        <w:t>发挥综合运转枢纽作用。必要时，设立现场指挥部，指挥长靠前指挥。</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en-US" w:eastAsia="zh-CN" w:bidi="ar-SA"/>
        </w:rPr>
        <w:t>市交通运输应急领导机构由交通运输局、五指山公路分局、各运输企业、应急救援队伍等单位组成。</w:t>
      </w:r>
      <w:r>
        <w:rPr>
          <w:rFonts w:hint="eastAsia" w:ascii="仿宋_GB2312" w:hAnsi="仿宋_GB2312" w:eastAsia="仿宋_GB2312" w:cs="仿宋_GB2312"/>
          <w:color w:val="auto"/>
          <w:sz w:val="32"/>
          <w:szCs w:val="32"/>
          <w:highlight w:val="none"/>
          <w:lang w:val="en-US" w:eastAsia="zh-CN"/>
        </w:rPr>
        <w:t>市交通运输局局长任组长，分管局领导任副组长，</w:t>
      </w:r>
      <w:r>
        <w:rPr>
          <w:rFonts w:hint="eastAsia" w:ascii="仿宋_GB2312" w:hAnsi="仿宋_GB2312" w:eastAsia="仿宋_GB2312" w:cs="仿宋_GB2312"/>
          <w:color w:val="auto"/>
          <w:kern w:val="0"/>
          <w:sz w:val="32"/>
          <w:szCs w:val="32"/>
          <w:highlight w:val="none"/>
          <w:lang w:val="en-US" w:eastAsia="zh-CN" w:bidi="ar-SA"/>
        </w:rPr>
        <w:t>五指山公路分局、各运输企业、应急救援队伍为成员。</w:t>
      </w:r>
      <w:r>
        <w:rPr>
          <w:rFonts w:hint="eastAsia" w:ascii="仿宋_GB2312" w:hAnsi="仿宋_GB2312" w:eastAsia="仿宋_GB2312" w:cs="仿宋_GB2312"/>
          <w:color w:val="auto"/>
          <w:kern w:val="0"/>
          <w:sz w:val="32"/>
          <w:szCs w:val="32"/>
          <w:highlight w:val="none"/>
          <w:lang w:val="zh-CN" w:eastAsia="zh-CN" w:bidi="ar-SA"/>
        </w:rPr>
        <w:t>日常工作职责：审定相关应急预案和应急管理工作政策、规划、经费预算和其他重大事项；指导督促相关单位部门开展应急演练和事故预防工作，以及其他应急准备相关工作。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应急状态下，开展以下工作：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（1）决定启动和终止较大（</w:t>
      </w:r>
      <w:r>
        <w:rPr>
          <w:rFonts w:hint="eastAsia" w:ascii="仿宋_GB2312" w:hAnsi="仿宋_GB2312" w:eastAsia="仿宋_GB2312" w:cs="仿宋_GB2312"/>
          <w:color w:val="auto"/>
          <w:kern w:val="0"/>
          <w:sz w:val="32"/>
          <w:szCs w:val="32"/>
          <w:highlight w:val="none"/>
          <w:lang w:val="en-US" w:eastAsia="zh-CN" w:bidi="ar-SA"/>
        </w:rPr>
        <w:t>Ⅲ</w:t>
      </w:r>
      <w:r>
        <w:rPr>
          <w:rFonts w:hint="eastAsia" w:ascii="仿宋_GB2312" w:hAnsi="仿宋_GB2312" w:eastAsia="仿宋_GB2312" w:cs="仿宋_GB2312"/>
          <w:color w:val="auto"/>
          <w:kern w:val="0"/>
          <w:sz w:val="32"/>
          <w:szCs w:val="32"/>
          <w:highlight w:val="none"/>
          <w:lang w:val="zh-CN" w:eastAsia="zh-CN" w:bidi="ar-SA"/>
        </w:rPr>
        <w:t>级）交通运输突发事件预警和应急响应行动，统一领导、指挥、协调较大（</w:t>
      </w:r>
      <w:r>
        <w:rPr>
          <w:rFonts w:hint="eastAsia" w:ascii="仿宋_GB2312" w:hAnsi="仿宋_GB2312" w:eastAsia="仿宋_GB2312" w:cs="仿宋_GB2312"/>
          <w:color w:val="auto"/>
          <w:kern w:val="0"/>
          <w:sz w:val="32"/>
          <w:szCs w:val="32"/>
          <w:highlight w:val="none"/>
          <w:lang w:val="en-US" w:eastAsia="zh-CN" w:bidi="ar-SA"/>
        </w:rPr>
        <w:t>Ⅲ</w:t>
      </w:r>
      <w:r>
        <w:rPr>
          <w:rFonts w:hint="eastAsia" w:ascii="仿宋_GB2312" w:hAnsi="仿宋_GB2312" w:eastAsia="仿宋_GB2312" w:cs="仿宋_GB2312"/>
          <w:color w:val="auto"/>
          <w:kern w:val="0"/>
          <w:sz w:val="32"/>
          <w:szCs w:val="32"/>
          <w:highlight w:val="none"/>
          <w:lang w:val="zh-CN" w:eastAsia="zh-CN" w:bidi="ar-SA"/>
        </w:rPr>
        <w:t>级）交通运输突发事件的应急处置工作和较大（</w:t>
      </w:r>
      <w:r>
        <w:rPr>
          <w:rFonts w:hint="eastAsia" w:ascii="仿宋_GB2312" w:hAnsi="仿宋_GB2312" w:eastAsia="仿宋_GB2312" w:cs="仿宋_GB2312"/>
          <w:color w:val="auto"/>
          <w:kern w:val="0"/>
          <w:sz w:val="32"/>
          <w:szCs w:val="32"/>
          <w:highlight w:val="none"/>
          <w:lang w:val="en-US" w:eastAsia="zh-CN" w:bidi="ar-SA"/>
        </w:rPr>
        <w:t>Ⅲ</w:t>
      </w:r>
      <w:r>
        <w:rPr>
          <w:rFonts w:hint="eastAsia" w:ascii="仿宋_GB2312" w:hAnsi="仿宋_GB2312" w:eastAsia="仿宋_GB2312" w:cs="仿宋_GB2312"/>
          <w:color w:val="auto"/>
          <w:kern w:val="0"/>
          <w:sz w:val="32"/>
          <w:szCs w:val="32"/>
          <w:highlight w:val="none"/>
          <w:lang w:val="zh-CN" w:eastAsia="zh-CN" w:bidi="ar-SA"/>
        </w:rPr>
        <w:t>级</w:t>
      </w:r>
      <w:r>
        <w:rPr>
          <w:rFonts w:hint="eastAsia" w:ascii="仿宋_GB2312" w:hAnsi="仿宋_GB2312" w:eastAsia="仿宋_GB2312" w:cs="仿宋_GB2312"/>
          <w:b w:val="0"/>
          <w:bCs w:val="0"/>
          <w:color w:val="auto"/>
          <w:kern w:val="0"/>
          <w:sz w:val="32"/>
          <w:szCs w:val="32"/>
          <w:highlight w:val="none"/>
          <w:lang w:val="zh-CN" w:eastAsia="zh-CN" w:bidi="ar-SA"/>
        </w:rPr>
        <w:t>）以上突发事件的前期处置工作；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w:t>
      </w:r>
      <w:r>
        <w:rPr>
          <w:rFonts w:hint="eastAsia" w:ascii="仿宋_GB2312" w:hAnsi="仿宋_GB2312" w:eastAsia="仿宋_GB2312" w:cs="仿宋_GB2312"/>
          <w:color w:val="auto"/>
          <w:kern w:val="0"/>
          <w:sz w:val="32"/>
          <w:szCs w:val="32"/>
          <w:highlight w:val="none"/>
          <w:lang w:val="en-US" w:eastAsia="zh-CN" w:bidi="ar-SA"/>
        </w:rPr>
        <w:t>2</w:t>
      </w:r>
      <w:r>
        <w:rPr>
          <w:rFonts w:hint="eastAsia" w:ascii="仿宋_GB2312" w:hAnsi="仿宋_GB2312" w:eastAsia="仿宋_GB2312" w:cs="仿宋_GB2312"/>
          <w:color w:val="auto"/>
          <w:kern w:val="0"/>
          <w:sz w:val="32"/>
          <w:szCs w:val="32"/>
          <w:highlight w:val="none"/>
          <w:lang w:val="zh-CN" w:eastAsia="zh-CN" w:bidi="ar-SA"/>
        </w:rPr>
        <w:t>）指导一般（Ⅳ级）交通运输突发事件的处置。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zh-CN" w:eastAsia="zh-CN" w:bidi="ar-SA"/>
        </w:rPr>
        <w:t>（</w:t>
      </w:r>
      <w:r>
        <w:rPr>
          <w:rFonts w:hint="eastAsia" w:ascii="仿宋_GB2312" w:hAnsi="仿宋_GB2312" w:eastAsia="仿宋_GB2312" w:cs="仿宋_GB2312"/>
          <w:color w:val="auto"/>
          <w:kern w:val="0"/>
          <w:sz w:val="32"/>
          <w:szCs w:val="32"/>
          <w:highlight w:val="none"/>
          <w:lang w:val="en-US" w:eastAsia="zh-CN" w:bidi="ar-SA"/>
        </w:rPr>
        <w:t>3</w:t>
      </w:r>
      <w:r>
        <w:rPr>
          <w:rFonts w:hint="eastAsia" w:ascii="仿宋_GB2312" w:hAnsi="仿宋_GB2312" w:eastAsia="仿宋_GB2312" w:cs="仿宋_GB2312"/>
          <w:color w:val="auto"/>
          <w:kern w:val="0"/>
          <w:sz w:val="32"/>
          <w:szCs w:val="32"/>
          <w:highlight w:val="none"/>
          <w:lang w:val="zh-CN" w:eastAsia="zh-CN" w:bidi="ar-SA"/>
        </w:rPr>
        <w:t>）对于其他事件，市交通运输应急领导机构应根据法定职责，按照市政府命令，或相关部门的配合处置需求，调集应急力量参与处置工作，提供交通运输保障。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zh-CN" w:eastAsia="zh-CN"/>
        </w:rPr>
      </w:pPr>
      <w:bookmarkStart w:id="135" w:name="_Toc21595"/>
      <w:bookmarkStart w:id="136" w:name="_Toc19239"/>
      <w:bookmarkStart w:id="137" w:name="_Toc7262"/>
      <w:bookmarkStart w:id="138" w:name="_Toc28102"/>
      <w:bookmarkStart w:id="139" w:name="_Toc6357"/>
      <w:bookmarkStart w:id="140" w:name="_Toc14135"/>
      <w:bookmarkStart w:id="141" w:name="_Toc31946"/>
      <w:bookmarkStart w:id="142" w:name="_Toc12293"/>
      <w:bookmarkStart w:id="143" w:name="_Toc5390"/>
      <w:bookmarkStart w:id="144" w:name="_Toc17594"/>
      <w:bookmarkStart w:id="145" w:name="_Toc32337"/>
      <w:bookmarkStart w:id="146" w:name="_Toc13971"/>
      <w:bookmarkStart w:id="147" w:name="_Toc22053"/>
      <w:bookmarkStart w:id="148" w:name="_Toc12441"/>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lang w:val="zh-CN" w:eastAsia="zh-CN"/>
        </w:rPr>
        <w:t>.1.2办事机构</w:t>
      </w:r>
      <w:bookmarkEnd w:id="135"/>
      <w:bookmarkEnd w:id="136"/>
      <w:bookmarkEnd w:id="137"/>
      <w:bookmarkEnd w:id="138"/>
      <w:bookmarkEnd w:id="139"/>
      <w:bookmarkEnd w:id="140"/>
      <w:bookmarkEnd w:id="141"/>
      <w:bookmarkEnd w:id="142"/>
      <w:bookmarkEnd w:id="143"/>
      <w:bookmarkEnd w:id="144"/>
      <w:bookmarkEnd w:id="145"/>
      <w:bookmarkEnd w:id="146"/>
      <w:bookmarkEnd w:id="1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en-US" w:eastAsia="zh-CN" w:bidi="ar-SA"/>
        </w:rPr>
        <w:t>市交通运输应急领导机构</w:t>
      </w:r>
      <w:r>
        <w:rPr>
          <w:rFonts w:hint="eastAsia" w:ascii="仿宋_GB2312" w:hAnsi="仿宋_GB2312" w:eastAsia="仿宋_GB2312" w:cs="仿宋_GB2312"/>
          <w:color w:val="auto"/>
          <w:kern w:val="0"/>
          <w:sz w:val="32"/>
          <w:szCs w:val="32"/>
          <w:highlight w:val="none"/>
          <w:lang w:val="zh-CN" w:eastAsia="zh-CN" w:bidi="ar-SA"/>
        </w:rPr>
        <w:t>下设</w:t>
      </w:r>
      <w:r>
        <w:rPr>
          <w:rFonts w:hint="eastAsia" w:ascii="仿宋_GB2312" w:hAnsi="仿宋_GB2312" w:eastAsia="仿宋_GB2312" w:cs="仿宋_GB2312"/>
          <w:color w:val="auto"/>
          <w:kern w:val="0"/>
          <w:sz w:val="32"/>
          <w:szCs w:val="32"/>
          <w:highlight w:val="none"/>
          <w:lang w:val="en-US" w:eastAsia="zh-CN" w:bidi="ar-SA"/>
        </w:rPr>
        <w:t>市交通运输局</w:t>
      </w:r>
      <w:r>
        <w:rPr>
          <w:rFonts w:hint="eastAsia" w:ascii="仿宋_GB2312" w:hAnsi="仿宋_GB2312" w:eastAsia="仿宋_GB2312" w:cs="仿宋_GB2312"/>
          <w:color w:val="auto"/>
          <w:kern w:val="0"/>
          <w:sz w:val="32"/>
          <w:szCs w:val="32"/>
          <w:highlight w:val="none"/>
          <w:lang w:val="zh-CN" w:eastAsia="zh-CN" w:bidi="ar-SA"/>
        </w:rPr>
        <w:t>应急管理工作办公室（简称市交通运输局应急办），设在市交通运输局</w:t>
      </w:r>
      <w:r>
        <w:rPr>
          <w:rFonts w:hint="eastAsia" w:ascii="仿宋_GB2312" w:hAnsi="仿宋_GB2312" w:eastAsia="仿宋_GB2312" w:cs="仿宋_GB2312"/>
          <w:color w:val="auto"/>
          <w:kern w:val="0"/>
          <w:sz w:val="32"/>
          <w:szCs w:val="32"/>
          <w:highlight w:val="none"/>
          <w:lang w:val="en-US" w:eastAsia="zh-CN" w:bidi="ar-SA"/>
        </w:rPr>
        <w:t>办公室</w:t>
      </w:r>
      <w:r>
        <w:rPr>
          <w:rFonts w:hint="eastAsia" w:ascii="仿宋_GB2312" w:hAnsi="仿宋_GB2312" w:eastAsia="仿宋_GB2312" w:cs="仿宋_GB2312"/>
          <w:color w:val="auto"/>
          <w:kern w:val="0"/>
          <w:sz w:val="32"/>
          <w:szCs w:val="32"/>
          <w:highlight w:val="none"/>
          <w:lang w:val="zh-CN" w:eastAsia="zh-CN" w:bidi="ar-SA"/>
        </w:rPr>
        <w:t>，由分管</w:t>
      </w:r>
      <w:r>
        <w:rPr>
          <w:rFonts w:hint="eastAsia" w:ascii="仿宋_GB2312" w:hAnsi="仿宋_GB2312" w:eastAsia="仿宋_GB2312" w:cs="仿宋_GB2312"/>
          <w:color w:val="auto"/>
          <w:kern w:val="0"/>
          <w:sz w:val="32"/>
          <w:szCs w:val="32"/>
          <w:highlight w:val="none"/>
          <w:lang w:val="en-US" w:eastAsia="zh-CN" w:bidi="ar-SA"/>
        </w:rPr>
        <w:t>领导</w:t>
      </w:r>
      <w:r>
        <w:rPr>
          <w:rFonts w:hint="eastAsia" w:ascii="仿宋_GB2312" w:hAnsi="仿宋_GB2312" w:eastAsia="仿宋_GB2312" w:cs="仿宋_GB2312"/>
          <w:color w:val="auto"/>
          <w:kern w:val="0"/>
          <w:sz w:val="32"/>
          <w:szCs w:val="32"/>
          <w:highlight w:val="none"/>
          <w:lang w:val="zh-CN" w:eastAsia="zh-CN" w:bidi="ar-SA"/>
        </w:rPr>
        <w:t>副局长任主任，</w:t>
      </w:r>
      <w:r>
        <w:rPr>
          <w:rFonts w:hint="eastAsia" w:ascii="仿宋_GB2312" w:hAnsi="仿宋_GB2312" w:eastAsia="仿宋_GB2312" w:cs="仿宋_GB2312"/>
          <w:color w:val="auto"/>
          <w:kern w:val="0"/>
          <w:sz w:val="32"/>
          <w:szCs w:val="32"/>
          <w:highlight w:val="none"/>
          <w:lang w:val="en-US" w:eastAsia="zh-CN" w:bidi="ar-SA"/>
        </w:rPr>
        <w:t>办公室</w:t>
      </w:r>
      <w:r>
        <w:rPr>
          <w:rFonts w:hint="eastAsia" w:ascii="仿宋_GB2312" w:hAnsi="仿宋_GB2312" w:eastAsia="仿宋_GB2312" w:cs="仿宋_GB2312"/>
          <w:color w:val="auto"/>
          <w:kern w:val="0"/>
          <w:sz w:val="32"/>
          <w:szCs w:val="32"/>
          <w:highlight w:val="none"/>
          <w:lang w:val="zh-CN" w:eastAsia="zh-CN" w:bidi="ar-SA"/>
        </w:rPr>
        <w:t>负责人任副主任。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日常工作职责：组织初审相关应急预案，编制年度应急工作经费预算，组织指导开展应急培训和预案演练；督促落实行业相关防范措施，协调公路交通应急处置工作；承办其他应急准备相关工作。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应急状态下，在市交通运输应急领导机构的统一领导下，开展以下工作：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（1）执行市交通运输应急领导机构关于交通运输突发事件应急处置的决策意见，发布应急预警，启动和中止应急响应。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（2）传达上级指令和领导批示指示；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（3）负责搜集、核实和处理应急处置相关信息，按要求进行报告；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（4）协调、督导相关部门和单位实施应急救援和处置工作；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（5）组织开展应急处置评估。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bookmarkStart w:id="149" w:name="_Toc22707"/>
      <w:bookmarkStart w:id="150" w:name="_Toc18326"/>
      <w:bookmarkStart w:id="151" w:name="_Toc6266"/>
      <w:bookmarkStart w:id="152" w:name="_Toc32661"/>
      <w:r>
        <w:rPr>
          <w:rFonts w:hint="eastAsia" w:ascii="黑体" w:hAnsi="黑体" w:eastAsia="黑体" w:cs="宋体"/>
          <w:color w:val="auto"/>
          <w:kern w:val="0"/>
          <w:sz w:val="32"/>
          <w:szCs w:val="32"/>
          <w:highlight w:val="none"/>
          <w:lang w:val="en-US" w:eastAsia="zh-CN"/>
        </w:rPr>
        <w:t>3</w:t>
      </w:r>
      <w:r>
        <w:rPr>
          <w:rFonts w:hint="eastAsia" w:ascii="黑体" w:hAnsi="黑体" w:eastAsia="黑体" w:cs="宋体"/>
          <w:color w:val="auto"/>
          <w:kern w:val="0"/>
          <w:sz w:val="32"/>
          <w:szCs w:val="32"/>
          <w:highlight w:val="none"/>
          <w:lang w:val="zh-CN" w:eastAsia="zh-CN"/>
        </w:rPr>
        <w:t>.2应急工作组</w:t>
      </w:r>
      <w:bookmarkEnd w:id="149"/>
      <w:bookmarkEnd w:id="150"/>
      <w:bookmarkEnd w:id="151"/>
      <w:bookmarkEnd w:id="15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bookmarkStart w:id="153" w:name="_Toc8363"/>
      <w:bookmarkStart w:id="154" w:name="_Toc21116"/>
      <w:bookmarkStart w:id="155" w:name="_Toc25658"/>
      <w:bookmarkStart w:id="156" w:name="_Toc1987"/>
      <w:bookmarkStart w:id="157" w:name="_Toc25931"/>
      <w:bookmarkStart w:id="158" w:name="_Toc20888"/>
      <w:bookmarkStart w:id="159" w:name="_Toc26333"/>
      <w:bookmarkStart w:id="160" w:name="_Toc950"/>
      <w:bookmarkStart w:id="161" w:name="_Toc18986"/>
      <w:bookmarkStart w:id="162" w:name="_Toc10042"/>
      <w:bookmarkStart w:id="163" w:name="_Toc18579"/>
      <w:bookmarkStart w:id="164" w:name="_Toc17797"/>
      <w:bookmarkStart w:id="165" w:name="_Toc30586"/>
      <w:r>
        <w:rPr>
          <w:rFonts w:hint="eastAsia" w:ascii="黑体" w:hAnsi="黑体" w:eastAsia="黑体" w:cs="宋体"/>
          <w:color w:val="auto"/>
          <w:kern w:val="0"/>
          <w:sz w:val="32"/>
          <w:szCs w:val="32"/>
          <w:highlight w:val="none"/>
          <w:lang w:val="en-US" w:eastAsia="zh-CN"/>
        </w:rPr>
        <w:t>3</w:t>
      </w:r>
      <w:r>
        <w:rPr>
          <w:rFonts w:hint="eastAsia" w:ascii="黑体" w:hAnsi="黑体" w:eastAsia="黑体" w:cs="宋体"/>
          <w:color w:val="auto"/>
          <w:kern w:val="0"/>
          <w:sz w:val="32"/>
          <w:szCs w:val="32"/>
          <w:highlight w:val="none"/>
          <w:lang w:val="zh-CN" w:eastAsia="zh-CN"/>
        </w:rPr>
        <w:t>.2.1现场指挥</w:t>
      </w:r>
      <w:bookmarkEnd w:id="153"/>
      <w:bookmarkEnd w:id="154"/>
      <w:bookmarkEnd w:id="155"/>
      <w:bookmarkEnd w:id="156"/>
      <w:bookmarkEnd w:id="157"/>
      <w:bookmarkEnd w:id="158"/>
      <w:bookmarkEnd w:id="159"/>
      <w:bookmarkEnd w:id="160"/>
      <w:bookmarkEnd w:id="161"/>
      <w:bookmarkEnd w:id="162"/>
      <w:bookmarkEnd w:id="163"/>
      <w:bookmarkEnd w:id="164"/>
      <w:bookmarkEnd w:id="1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按照市政府授权或命令，由市交通运输局牵头组建现场指挥部时，应根据较大（</w:t>
      </w:r>
      <w:r>
        <w:rPr>
          <w:rFonts w:hint="eastAsia" w:ascii="仿宋_GB2312" w:hAnsi="仿宋_GB2312" w:eastAsia="仿宋_GB2312" w:cs="仿宋_GB2312"/>
          <w:color w:val="auto"/>
          <w:kern w:val="0"/>
          <w:sz w:val="32"/>
          <w:szCs w:val="32"/>
          <w:highlight w:val="none"/>
          <w:lang w:val="en-US" w:eastAsia="zh-CN" w:bidi="ar-SA"/>
        </w:rPr>
        <w:t>Ⅲ</w:t>
      </w:r>
      <w:r>
        <w:rPr>
          <w:rFonts w:hint="eastAsia" w:ascii="仿宋_GB2312" w:hAnsi="仿宋_GB2312" w:eastAsia="仿宋_GB2312" w:cs="仿宋_GB2312"/>
          <w:color w:val="auto"/>
          <w:kern w:val="0"/>
          <w:sz w:val="32"/>
          <w:szCs w:val="32"/>
          <w:highlight w:val="none"/>
          <w:lang w:val="zh-CN" w:eastAsia="zh-CN" w:bidi="ar-SA"/>
        </w:rPr>
        <w:t>级）交通运输突发事件所属行业性质，确定指挥部组成人员，组建现场指挥部，领导、组织开展相关应急处置工作。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由市政府组建或市政府其他部门牵头组建的现场指挥部时，</w:t>
      </w:r>
      <w:r>
        <w:rPr>
          <w:rFonts w:hint="eastAsia" w:ascii="仿宋_GB2312" w:hAnsi="仿宋_GB2312" w:eastAsia="仿宋_GB2312" w:cs="仿宋_GB2312"/>
          <w:color w:val="auto"/>
          <w:kern w:val="0"/>
          <w:sz w:val="32"/>
          <w:szCs w:val="32"/>
          <w:highlight w:val="none"/>
          <w:lang w:val="en-US" w:eastAsia="zh-CN" w:bidi="ar-SA"/>
        </w:rPr>
        <w:t>市交通运输应急领导机构</w:t>
      </w:r>
      <w:r>
        <w:rPr>
          <w:rFonts w:hint="eastAsia" w:ascii="仿宋_GB2312" w:hAnsi="仿宋_GB2312" w:eastAsia="仿宋_GB2312" w:cs="仿宋_GB2312"/>
          <w:color w:val="auto"/>
          <w:kern w:val="0"/>
          <w:sz w:val="32"/>
          <w:szCs w:val="32"/>
          <w:highlight w:val="none"/>
          <w:lang w:val="zh-CN" w:eastAsia="zh-CN" w:bidi="ar-SA"/>
        </w:rPr>
        <w:t>应指派分管领导、市交通运输局相关办公室负责人和市交通运输企业负责人参加，按分工开展应急处置和事故调查工作。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trike/>
          <w:dstrike w:val="0"/>
          <w:color w:val="auto"/>
          <w:kern w:val="0"/>
          <w:sz w:val="32"/>
          <w:szCs w:val="32"/>
          <w:highlight w:val="none"/>
          <w:lang w:val="zh-CN" w:eastAsia="zh-CN"/>
        </w:rPr>
      </w:pPr>
      <w:bookmarkStart w:id="166" w:name="_Toc19453"/>
      <w:bookmarkStart w:id="167" w:name="_Toc22442"/>
      <w:bookmarkStart w:id="168" w:name="_Toc7552"/>
      <w:bookmarkStart w:id="169" w:name="_Toc22482"/>
      <w:bookmarkStart w:id="170" w:name="_Toc16274"/>
      <w:bookmarkStart w:id="171" w:name="_Toc21454"/>
      <w:bookmarkStart w:id="172" w:name="_Toc31055"/>
      <w:bookmarkStart w:id="173" w:name="_Toc2414"/>
      <w:bookmarkStart w:id="174" w:name="_Toc10479"/>
      <w:bookmarkStart w:id="175" w:name="_Toc17345"/>
      <w:bookmarkStart w:id="176" w:name="_Toc29837"/>
      <w:bookmarkStart w:id="177" w:name="_Toc11512"/>
      <w:bookmarkStart w:id="178" w:name="_Toc30243"/>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lang w:val="zh-CN" w:eastAsia="zh-CN"/>
        </w:rPr>
        <w:t>.2.2现场工作组</w:t>
      </w:r>
      <w:bookmarkEnd w:id="166"/>
      <w:bookmarkEnd w:id="167"/>
      <w:bookmarkEnd w:id="168"/>
      <w:bookmarkEnd w:id="169"/>
      <w:bookmarkEnd w:id="170"/>
      <w:bookmarkEnd w:id="171"/>
      <w:bookmarkEnd w:id="172"/>
      <w:bookmarkEnd w:id="173"/>
      <w:bookmarkEnd w:id="174"/>
      <w:bookmarkEnd w:id="175"/>
      <w:bookmarkEnd w:id="176"/>
      <w:bookmarkEnd w:id="177"/>
      <w:bookmarkEnd w:id="17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lang w:val="zh-CN" w:eastAsia="zh-CN" w:bidi="ar-SA"/>
        </w:rPr>
        <w:t>（1）由市交通运输局牵头组建的现场指挥部，</w:t>
      </w:r>
      <w:r>
        <w:rPr>
          <w:rFonts w:hint="eastAsia" w:ascii="仿宋_GB2312" w:hAnsi="仿宋_GB2312" w:eastAsia="仿宋_GB2312" w:cs="仿宋_GB2312"/>
          <w:color w:val="auto"/>
          <w:kern w:val="0"/>
          <w:sz w:val="32"/>
          <w:szCs w:val="32"/>
          <w:highlight w:val="none"/>
          <w:lang w:val="en-US" w:eastAsia="zh-CN" w:bidi="ar-SA"/>
        </w:rPr>
        <w:t>市交通运输局局长为指挥长，副局长为副指挥长。</w:t>
      </w:r>
      <w:r>
        <w:rPr>
          <w:rFonts w:hint="eastAsia" w:ascii="仿宋_GB2312" w:hAnsi="仿宋_GB2312" w:eastAsia="仿宋_GB2312" w:cs="仿宋_GB2312"/>
          <w:color w:val="auto"/>
          <w:kern w:val="0"/>
          <w:sz w:val="32"/>
          <w:szCs w:val="32"/>
          <w:highlight w:val="none"/>
          <w:lang w:val="zh-CN" w:eastAsia="zh-CN" w:bidi="ar-SA"/>
        </w:rPr>
        <w:t>根据现场处置需要，组建以下现场工作组（</w:t>
      </w:r>
      <w:r>
        <w:rPr>
          <w:rFonts w:hint="eastAsia" w:ascii="仿宋_GB2312" w:hAnsi="仿宋_GB2312" w:eastAsia="仿宋_GB2312" w:cs="仿宋_GB2312"/>
          <w:color w:val="auto"/>
          <w:kern w:val="0"/>
          <w:sz w:val="32"/>
          <w:szCs w:val="32"/>
          <w:highlight w:val="none"/>
          <w:lang w:val="en-US" w:eastAsia="zh-CN" w:bidi="ar-SA"/>
        </w:rPr>
        <w:t>应急指挥部现场工作组成员表详见附录9.1</w:t>
      </w:r>
      <w:r>
        <w:rPr>
          <w:rFonts w:hint="eastAsia" w:ascii="仿宋_GB2312" w:hAnsi="仿宋_GB2312" w:eastAsia="仿宋_GB2312" w:cs="仿宋_GB2312"/>
          <w:color w:val="auto"/>
          <w:kern w:val="0"/>
          <w:sz w:val="32"/>
          <w:szCs w:val="32"/>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zh-CN" w:eastAsia="zh-CN" w:bidi="ar-SA"/>
        </w:rPr>
        <w:t>①综合协调组。</w:t>
      </w:r>
      <w:r>
        <w:rPr>
          <w:rFonts w:hint="eastAsia" w:ascii="仿宋_GB2312" w:hAnsi="仿宋_GB2312" w:eastAsia="仿宋_GB2312" w:cs="仿宋_GB2312"/>
          <w:color w:val="auto"/>
          <w:kern w:val="0"/>
          <w:sz w:val="32"/>
          <w:szCs w:val="32"/>
          <w:highlight w:val="none"/>
          <w:lang w:val="zh-CN" w:eastAsia="zh-CN" w:bidi="ar-SA"/>
        </w:rPr>
        <w:t>由</w:t>
      </w:r>
      <w:r>
        <w:rPr>
          <w:rFonts w:hint="eastAsia" w:ascii="仿宋_GB2312" w:hAnsi="仿宋_GB2312" w:eastAsia="仿宋_GB2312" w:cs="仿宋_GB2312"/>
          <w:color w:val="auto"/>
          <w:kern w:val="0"/>
          <w:sz w:val="32"/>
          <w:szCs w:val="32"/>
          <w:highlight w:val="none"/>
          <w:lang w:val="en-US" w:eastAsia="zh-CN" w:bidi="ar-SA"/>
        </w:rPr>
        <w:t>市局</w:t>
      </w:r>
      <w:r>
        <w:rPr>
          <w:rFonts w:hint="eastAsia" w:ascii="仿宋_GB2312" w:hAnsi="仿宋_GB2312" w:eastAsia="仿宋_GB2312" w:cs="仿宋_GB2312"/>
          <w:color w:val="auto"/>
          <w:kern w:val="0"/>
          <w:sz w:val="32"/>
          <w:szCs w:val="32"/>
          <w:highlight w:val="none"/>
          <w:lang w:val="zh-CN" w:eastAsia="zh-CN" w:bidi="ar-SA"/>
        </w:rPr>
        <w:t>办公室负责人任组长，局属</w:t>
      </w:r>
      <w:r>
        <w:rPr>
          <w:rFonts w:hint="eastAsia" w:ascii="仿宋_GB2312" w:hAnsi="仿宋_GB2312" w:eastAsia="仿宋_GB2312" w:cs="仿宋_GB2312"/>
          <w:color w:val="auto"/>
          <w:kern w:val="0"/>
          <w:sz w:val="32"/>
          <w:szCs w:val="32"/>
          <w:highlight w:val="none"/>
          <w:lang w:val="en-US" w:eastAsia="zh-CN" w:bidi="ar-SA"/>
        </w:rPr>
        <w:t>其他</w:t>
      </w:r>
      <w:r>
        <w:rPr>
          <w:rFonts w:hint="eastAsia" w:ascii="仿宋_GB2312" w:hAnsi="仿宋_GB2312" w:eastAsia="仿宋_GB2312" w:cs="仿宋_GB2312"/>
          <w:color w:val="auto"/>
          <w:kern w:val="0"/>
          <w:sz w:val="32"/>
          <w:szCs w:val="32"/>
          <w:highlight w:val="none"/>
          <w:lang w:val="zh-CN" w:eastAsia="zh-CN" w:bidi="ar-SA"/>
        </w:rPr>
        <w:t>办公室和直属单位有关人员为成员，负责起草事故处置的相关报告、通知、通报等文件，收集和报送事故处置信息、应急工作文件，协调衔接相关部门、相关应急救援力量参与事故处置；协调相关单位提供后勤保障；负责相关通信保障工作；承办现场指挥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zh-CN" w:eastAsia="zh-CN" w:bidi="ar-SA"/>
        </w:rPr>
        <w:t>②现场工作组。</w:t>
      </w:r>
      <w:r>
        <w:rPr>
          <w:rFonts w:hint="eastAsia" w:ascii="仿宋_GB2312" w:hAnsi="仿宋_GB2312" w:eastAsia="仿宋_GB2312" w:cs="仿宋_GB2312"/>
          <w:color w:val="auto"/>
          <w:kern w:val="0"/>
          <w:sz w:val="32"/>
          <w:szCs w:val="32"/>
          <w:highlight w:val="none"/>
          <w:lang w:val="zh-CN" w:eastAsia="zh-CN" w:bidi="ar-SA"/>
        </w:rPr>
        <w:t>由</w:t>
      </w:r>
      <w:r>
        <w:rPr>
          <w:rFonts w:hint="eastAsia" w:ascii="仿宋_GB2312" w:hAnsi="仿宋_GB2312" w:eastAsia="仿宋_GB2312" w:cs="仿宋_GB2312"/>
          <w:color w:val="auto"/>
          <w:kern w:val="0"/>
          <w:sz w:val="32"/>
          <w:szCs w:val="32"/>
          <w:highlight w:val="none"/>
          <w:lang w:val="en-US" w:eastAsia="zh-CN" w:bidi="ar-SA"/>
        </w:rPr>
        <w:t>安全生产管理办公室</w:t>
      </w:r>
      <w:r>
        <w:rPr>
          <w:rFonts w:hint="eastAsia" w:ascii="仿宋_GB2312" w:hAnsi="仿宋_GB2312" w:eastAsia="仿宋_GB2312" w:cs="仿宋_GB2312"/>
          <w:color w:val="auto"/>
          <w:kern w:val="0"/>
          <w:sz w:val="32"/>
          <w:szCs w:val="32"/>
          <w:highlight w:val="none"/>
          <w:lang w:val="zh-CN" w:eastAsia="zh-CN" w:bidi="ar-SA"/>
        </w:rPr>
        <w:t>分管领导任组长，直属单位分管领导和局属相关办公室负责人任成员。负责执行突发事件市交通运输应急领导机构的各项应急指令；指挥、调度现场救援力量；及时向局市交通运输应急领导机构报告应急行动的进展情况和结果；根据现场实际情况，向局市交通运输应急领导机构提出下一步应急救援行动及终止行动的建议；承办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zh-CN" w:eastAsia="zh-CN" w:bidi="ar-SA"/>
        </w:rPr>
        <w:t>③通行和运力保障组。</w:t>
      </w:r>
      <w:r>
        <w:rPr>
          <w:rFonts w:hint="eastAsia" w:ascii="仿宋_GB2312" w:hAnsi="仿宋_GB2312" w:eastAsia="仿宋_GB2312" w:cs="仿宋_GB2312"/>
          <w:color w:val="auto"/>
          <w:kern w:val="0"/>
          <w:sz w:val="32"/>
          <w:szCs w:val="32"/>
          <w:highlight w:val="none"/>
          <w:lang w:val="zh-CN" w:eastAsia="zh-CN" w:bidi="ar-SA"/>
        </w:rPr>
        <w:t>由</w:t>
      </w:r>
      <w:r>
        <w:rPr>
          <w:rFonts w:hint="eastAsia" w:ascii="仿宋_GB2312" w:hAnsi="仿宋_GB2312" w:eastAsia="仿宋_GB2312" w:cs="仿宋_GB2312"/>
          <w:color w:val="auto"/>
          <w:kern w:val="0"/>
          <w:sz w:val="32"/>
          <w:szCs w:val="32"/>
          <w:highlight w:val="none"/>
          <w:lang w:val="en-US" w:eastAsia="zh-CN" w:bidi="ar-SA"/>
        </w:rPr>
        <w:t>交通运输和地方公路事务中心</w:t>
      </w:r>
      <w:r>
        <w:rPr>
          <w:rFonts w:hint="eastAsia" w:ascii="仿宋_GB2312" w:hAnsi="仿宋_GB2312" w:eastAsia="仿宋_GB2312" w:cs="仿宋_GB2312"/>
          <w:color w:val="auto"/>
          <w:kern w:val="0"/>
          <w:sz w:val="32"/>
          <w:szCs w:val="32"/>
          <w:highlight w:val="none"/>
          <w:lang w:val="zh-CN" w:eastAsia="zh-CN" w:bidi="ar-SA"/>
        </w:rPr>
        <w:t>负责人任组长，视情由局直属单位、局属办公室和交通运输企业负责人任成员。负责协调公路运力调配；各类交通突发事件紧急运输保障；负责协调储备应急运力，提供公共运输应急保障；拟定应急运力的征用补偿方案；承办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zh-CN" w:eastAsia="zh-CN" w:bidi="ar-SA"/>
        </w:rPr>
        <w:t>④新闻宣传组。</w:t>
      </w:r>
      <w:r>
        <w:rPr>
          <w:rFonts w:hint="eastAsia" w:ascii="仿宋_GB2312" w:hAnsi="仿宋_GB2312" w:eastAsia="仿宋_GB2312" w:cs="仿宋_GB2312"/>
          <w:color w:val="auto"/>
          <w:kern w:val="0"/>
          <w:sz w:val="32"/>
          <w:szCs w:val="32"/>
          <w:highlight w:val="none"/>
          <w:lang w:val="zh-CN" w:eastAsia="zh-CN" w:bidi="ar-SA"/>
        </w:rPr>
        <w:t>由</w:t>
      </w:r>
      <w:r>
        <w:rPr>
          <w:rFonts w:hint="eastAsia" w:ascii="仿宋_GB2312" w:hAnsi="仿宋_GB2312" w:eastAsia="仿宋_GB2312" w:cs="仿宋_GB2312"/>
          <w:color w:val="auto"/>
          <w:kern w:val="0"/>
          <w:sz w:val="32"/>
          <w:szCs w:val="32"/>
          <w:highlight w:val="none"/>
          <w:lang w:val="en-US" w:eastAsia="zh-CN" w:bidi="ar-SA"/>
        </w:rPr>
        <w:t>市局</w:t>
      </w:r>
      <w:r>
        <w:rPr>
          <w:rFonts w:hint="eastAsia" w:ascii="仿宋_GB2312" w:hAnsi="仿宋_GB2312" w:eastAsia="仿宋_GB2312" w:cs="仿宋_GB2312"/>
          <w:color w:val="auto"/>
          <w:kern w:val="0"/>
          <w:sz w:val="32"/>
          <w:szCs w:val="32"/>
          <w:highlight w:val="none"/>
          <w:lang w:val="zh-CN" w:eastAsia="zh-CN" w:bidi="ar-SA"/>
        </w:rPr>
        <w:t>办公室处负责人任组长，</w:t>
      </w:r>
      <w:r>
        <w:rPr>
          <w:rFonts w:hint="eastAsia" w:ascii="仿宋_GB2312" w:hAnsi="仿宋_GB2312" w:eastAsia="仿宋_GB2312" w:cs="仿宋_GB2312"/>
          <w:color w:val="auto"/>
          <w:kern w:val="0"/>
          <w:sz w:val="32"/>
          <w:szCs w:val="32"/>
          <w:highlight w:val="none"/>
          <w:lang w:val="en-US" w:eastAsia="zh-CN" w:bidi="ar-SA"/>
        </w:rPr>
        <w:t>市局</w:t>
      </w:r>
      <w:r>
        <w:rPr>
          <w:rFonts w:hint="eastAsia" w:ascii="仿宋_GB2312" w:hAnsi="仿宋_GB2312" w:eastAsia="仿宋_GB2312" w:cs="仿宋_GB2312"/>
          <w:color w:val="auto"/>
          <w:kern w:val="0"/>
          <w:sz w:val="32"/>
          <w:szCs w:val="32"/>
          <w:highlight w:val="none"/>
          <w:lang w:val="zh-CN" w:eastAsia="zh-CN" w:bidi="ar-SA"/>
        </w:rPr>
        <w:t>办公室人员组成为成员。负责制订新闻宣传方案，拟写新闻通稿，组织新闻发布，协调媒体记者采访；收集、跟踪新闻舆情，正确引导舆论走向；承办现场指挥部交办的其他工作。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zh-CN" w:eastAsia="zh-CN" w:bidi="ar-SA"/>
        </w:rPr>
        <w:t>⑤善后维稳组。</w:t>
      </w:r>
      <w:r>
        <w:rPr>
          <w:rFonts w:hint="eastAsia" w:ascii="仿宋_GB2312" w:hAnsi="仿宋_GB2312" w:eastAsia="仿宋_GB2312" w:cs="仿宋_GB2312"/>
          <w:color w:val="auto"/>
          <w:kern w:val="0"/>
          <w:sz w:val="32"/>
          <w:szCs w:val="32"/>
          <w:highlight w:val="none"/>
          <w:lang w:val="zh-CN" w:eastAsia="zh-CN" w:bidi="ar-SA"/>
        </w:rPr>
        <w:t>由</w:t>
      </w:r>
      <w:r>
        <w:rPr>
          <w:rFonts w:hint="eastAsia" w:ascii="仿宋_GB2312" w:hAnsi="仿宋_GB2312" w:eastAsia="仿宋_GB2312" w:cs="仿宋_GB2312"/>
          <w:color w:val="auto"/>
          <w:kern w:val="0"/>
          <w:sz w:val="32"/>
          <w:szCs w:val="32"/>
          <w:highlight w:val="none"/>
          <w:lang w:val="en-US" w:eastAsia="zh-CN" w:bidi="ar-SA"/>
        </w:rPr>
        <w:t>公路建设办公室</w:t>
      </w:r>
      <w:r>
        <w:rPr>
          <w:rFonts w:hint="eastAsia" w:ascii="仿宋_GB2312" w:hAnsi="仿宋_GB2312" w:eastAsia="仿宋_GB2312" w:cs="仿宋_GB2312"/>
          <w:color w:val="auto"/>
          <w:kern w:val="0"/>
          <w:sz w:val="32"/>
          <w:szCs w:val="32"/>
          <w:highlight w:val="none"/>
          <w:lang w:val="zh-CN" w:eastAsia="zh-CN" w:bidi="ar-SA"/>
        </w:rPr>
        <w:t>负责人任组长，市行业管理机构人员为成员。负责依法配合属地政府相关部门开展事件善后和信访维稳工作；承办现场指挥部交办的其他工作。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bookmarkStart w:id="179" w:name="_Toc4594"/>
      <w:bookmarkStart w:id="180" w:name="_Toc16315"/>
      <w:bookmarkStart w:id="181" w:name="_Toc4404"/>
      <w:bookmarkStart w:id="182" w:name="_Toc5116"/>
      <w:r>
        <w:rPr>
          <w:rFonts w:hint="eastAsia" w:ascii="黑体" w:hAnsi="黑体" w:eastAsia="黑体" w:cs="宋体"/>
          <w:color w:val="auto"/>
          <w:kern w:val="0"/>
          <w:sz w:val="32"/>
          <w:szCs w:val="32"/>
          <w:highlight w:val="none"/>
          <w:lang w:val="en-US" w:eastAsia="zh-CN"/>
        </w:rPr>
        <w:t>3</w:t>
      </w:r>
      <w:r>
        <w:rPr>
          <w:rFonts w:hint="eastAsia" w:ascii="黑体" w:hAnsi="黑体" w:eastAsia="黑体" w:cs="宋体"/>
          <w:color w:val="auto"/>
          <w:kern w:val="0"/>
          <w:sz w:val="32"/>
          <w:szCs w:val="32"/>
          <w:highlight w:val="none"/>
          <w:lang w:val="zh-CN" w:eastAsia="zh-CN"/>
        </w:rPr>
        <w:t>.3专家</w:t>
      </w:r>
      <w:bookmarkEnd w:id="179"/>
      <w:bookmarkEnd w:id="180"/>
      <w:bookmarkEnd w:id="181"/>
      <w:r>
        <w:rPr>
          <w:rFonts w:hint="eastAsia" w:ascii="黑体" w:hAnsi="黑体" w:eastAsia="黑体" w:cs="宋体"/>
          <w:color w:val="auto"/>
          <w:kern w:val="0"/>
          <w:sz w:val="32"/>
          <w:szCs w:val="32"/>
          <w:highlight w:val="none"/>
          <w:lang w:val="zh-CN" w:eastAsia="zh-CN"/>
        </w:rPr>
        <w:t>组</w:t>
      </w:r>
      <w:bookmarkEnd w:id="182"/>
      <w:bookmarkStart w:id="183" w:name="_Toc23169"/>
      <w:bookmarkStart w:id="184" w:name="_Toc23845"/>
      <w:bookmarkStart w:id="185" w:name="_Toc8138"/>
      <w:bookmarkStart w:id="186" w:name="_Toc63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按照突发事件分类处置的原则，负责对应急准备、应急行动、应急响应终止和后期分析评估提供专业咨询和建议。根据需要参加突发事件的应急处置工作。专家组在各相关行业专家库中抽取。</w:t>
      </w:r>
      <w:bookmarkEnd w:id="183"/>
      <w:bookmarkEnd w:id="184"/>
      <w:bookmarkEnd w:id="185"/>
      <w:bookmarkEnd w:id="186"/>
      <w:bookmarkStart w:id="187" w:name="_Toc27270"/>
      <w:bookmarkStart w:id="188" w:name="_Toc16553"/>
      <w:bookmarkStart w:id="189" w:name="_Toc24203"/>
      <w:bookmarkStart w:id="190" w:name="_Toc130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en-US" w:eastAsia="zh-CN"/>
        </w:rPr>
      </w:pPr>
      <w:r>
        <w:rPr>
          <w:rFonts w:hint="eastAsia" w:ascii="黑体" w:hAnsi="黑体" w:eastAsia="黑体" w:cs="宋体"/>
          <w:color w:val="auto"/>
          <w:kern w:val="0"/>
          <w:sz w:val="32"/>
          <w:szCs w:val="32"/>
          <w:highlight w:val="none"/>
          <w:lang w:val="en-US" w:eastAsia="zh-CN"/>
        </w:rPr>
        <w:t>3</w:t>
      </w:r>
      <w:r>
        <w:rPr>
          <w:rFonts w:hint="eastAsia" w:ascii="黑体" w:hAnsi="黑体" w:eastAsia="黑体" w:cs="宋体"/>
          <w:color w:val="auto"/>
          <w:kern w:val="0"/>
          <w:sz w:val="32"/>
          <w:szCs w:val="32"/>
          <w:highlight w:val="none"/>
          <w:lang w:val="zh-CN" w:eastAsia="zh-CN"/>
        </w:rPr>
        <w:t>.4组织结构图</w:t>
      </w:r>
      <w:bookmarkEnd w:id="148"/>
      <w:bookmarkEnd w:id="187"/>
      <w:bookmarkEnd w:id="188"/>
      <w:bookmarkEnd w:id="189"/>
      <w:bookmarkEnd w:id="190"/>
      <w:bookmarkStart w:id="191" w:name="_Toc22409"/>
      <w:bookmarkStart w:id="192" w:name="_Toc12755"/>
      <w:bookmarkStart w:id="193" w:name="_Toc22623"/>
      <w:bookmarkStart w:id="194" w:name="_Toc11206"/>
      <w:bookmarkStart w:id="195" w:name="_Toc18518"/>
    </w:p>
    <w:p>
      <w:pPr>
        <w:bidi w:val="0"/>
        <w:rPr>
          <w:rFonts w:hint="eastAsia"/>
          <w:highlight w:val="none"/>
          <w:lang w:val="en-US" w:eastAsia="zh-CN"/>
        </w:rPr>
      </w:pPr>
      <w:r>
        <w:rPr>
          <w:highlight w:val="none"/>
        </w:rPr>
        <w:drawing>
          <wp:anchor distT="0" distB="0" distL="114300" distR="114300" simplePos="0" relativeHeight="251659264" behindDoc="0" locked="0" layoutInCell="1" allowOverlap="1">
            <wp:simplePos x="0" y="0"/>
            <wp:positionH relativeFrom="column">
              <wp:posOffset>791845</wp:posOffset>
            </wp:positionH>
            <wp:positionV relativeFrom="paragraph">
              <wp:posOffset>40640</wp:posOffset>
            </wp:positionV>
            <wp:extent cx="4197985" cy="3523615"/>
            <wp:effectExtent l="0" t="0" r="12065"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197985" cy="3523615"/>
                    </a:xfrm>
                    <a:prstGeom prst="rect">
                      <a:avLst/>
                    </a:prstGeom>
                    <a:noFill/>
                    <a:ln>
                      <a:noFill/>
                    </a:ln>
                  </pic:spPr>
                </pic:pic>
              </a:graphicData>
            </a:graphic>
          </wp:anchor>
        </w:drawing>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宋体"/>
          <w:color w:val="auto"/>
          <w:kern w:val="0"/>
          <w:sz w:val="32"/>
          <w:szCs w:val="32"/>
          <w:highlight w:val="none"/>
          <w:lang w:val="zh-CN" w:eastAsia="zh-CN"/>
        </w:rPr>
      </w:pPr>
      <w:r>
        <w:rPr>
          <w:rFonts w:hint="eastAsia" w:ascii="黑体" w:hAnsi="黑体" w:eastAsia="黑体" w:cs="宋体"/>
          <w:color w:val="auto"/>
          <w:kern w:val="0"/>
          <w:sz w:val="32"/>
          <w:szCs w:val="32"/>
          <w:highlight w:val="none"/>
          <w:lang w:val="en-US" w:eastAsia="zh-CN"/>
        </w:rPr>
        <w:t>3</w:t>
      </w:r>
      <w:r>
        <w:rPr>
          <w:rFonts w:hint="eastAsia" w:ascii="黑体" w:hAnsi="黑体" w:eastAsia="黑体" w:cs="宋体"/>
          <w:color w:val="auto"/>
          <w:kern w:val="0"/>
          <w:sz w:val="32"/>
          <w:szCs w:val="32"/>
          <w:highlight w:val="none"/>
          <w:lang w:val="zh-CN" w:eastAsia="zh-CN"/>
        </w:rPr>
        <w:t>.5应急协作</w:t>
      </w:r>
      <w:bookmarkEnd w:id="191"/>
      <w:bookmarkEnd w:id="192"/>
      <w:bookmarkEnd w:id="193"/>
      <w:bookmarkEnd w:id="19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市交通运输应急领导机构除履行好应急预案所赋职责外，应积极配合当地政府、应急、公安交警、卫生医疗等部门，妥善、高效地处置好交通运输行业突发事件的应急抢险救援工作。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bookmarkStart w:id="196" w:name="_Toc9263"/>
      <w:bookmarkStart w:id="197" w:name="_Toc32561"/>
      <w:bookmarkStart w:id="198" w:name="_Toc16678"/>
      <w:bookmarkStart w:id="199" w:name="_Toc947"/>
      <w:r>
        <w:rPr>
          <w:rFonts w:hint="eastAsia" w:ascii="黑体" w:hAnsi="黑体" w:eastAsia="黑体" w:cs="宋体"/>
          <w:color w:val="auto"/>
          <w:kern w:val="0"/>
          <w:sz w:val="32"/>
          <w:szCs w:val="32"/>
          <w:highlight w:val="none"/>
          <w:lang w:val="en-US" w:eastAsia="zh-CN"/>
        </w:rPr>
        <w:t>4.</w:t>
      </w:r>
      <w:r>
        <w:rPr>
          <w:rFonts w:hint="eastAsia" w:ascii="黑体" w:hAnsi="黑体" w:eastAsia="黑体" w:cs="宋体"/>
          <w:color w:val="auto"/>
          <w:kern w:val="0"/>
          <w:sz w:val="32"/>
          <w:szCs w:val="32"/>
          <w:highlight w:val="none"/>
          <w:lang w:val="zh-CN" w:eastAsia="zh-CN"/>
        </w:rPr>
        <w:t>预防与预警</w:t>
      </w:r>
      <w:bookmarkEnd w:id="195"/>
      <w:bookmarkEnd w:id="196"/>
      <w:bookmarkEnd w:id="197"/>
      <w:bookmarkEnd w:id="198"/>
      <w:bookmarkEnd w:id="19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bookmarkStart w:id="200" w:name="_Toc5906"/>
      <w:bookmarkStart w:id="201" w:name="_Toc18272"/>
      <w:bookmarkStart w:id="202" w:name="_Toc2278"/>
      <w:bookmarkStart w:id="203" w:name="_Toc10206"/>
      <w:r>
        <w:rPr>
          <w:rFonts w:hint="eastAsia" w:ascii="黑体" w:hAnsi="黑体" w:eastAsia="黑体" w:cs="宋体"/>
          <w:color w:val="auto"/>
          <w:kern w:val="0"/>
          <w:sz w:val="32"/>
          <w:szCs w:val="32"/>
          <w:highlight w:val="none"/>
          <w:lang w:val="en-US" w:eastAsia="zh-CN"/>
        </w:rPr>
        <w:t>4.1</w:t>
      </w:r>
      <w:r>
        <w:rPr>
          <w:rFonts w:hint="eastAsia" w:ascii="黑体" w:hAnsi="黑体" w:eastAsia="黑体" w:cs="宋体"/>
          <w:color w:val="auto"/>
          <w:kern w:val="0"/>
          <w:sz w:val="32"/>
          <w:szCs w:val="32"/>
          <w:highlight w:val="none"/>
          <w:lang w:val="zh-CN" w:eastAsia="zh-CN"/>
        </w:rPr>
        <w:t>预防和预警信息</w:t>
      </w:r>
      <w:bookmarkEnd w:id="200"/>
      <w:bookmarkEnd w:id="201"/>
      <w:bookmarkEnd w:id="202"/>
      <w:bookmarkEnd w:id="20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本预案中预防预警主要针对自然灾害类突发事件。通过收集极端恶劣天气、地质灾害等预警信息，进行评估分析并做出判断，转发预警信息，采取防御响应措施。由市交通运输</w:t>
      </w:r>
      <w:r>
        <w:rPr>
          <w:rFonts w:hint="eastAsia" w:ascii="仿宋_GB2312" w:hAnsi="仿宋_GB2312" w:eastAsia="仿宋_GB2312" w:cs="仿宋_GB2312"/>
          <w:sz w:val="32"/>
          <w:szCs w:val="32"/>
          <w:highlight w:val="none"/>
          <w:lang w:val="en-US" w:eastAsia="zh-CN"/>
        </w:rPr>
        <w:t>局</w:t>
      </w:r>
      <w:r>
        <w:rPr>
          <w:rFonts w:hint="eastAsia" w:ascii="仿宋_GB2312" w:hAnsi="仿宋_GB2312" w:eastAsia="仿宋_GB2312" w:cs="仿宋_GB2312"/>
          <w:sz w:val="32"/>
          <w:szCs w:val="32"/>
          <w:highlight w:val="none"/>
          <w:lang w:val="zh-CN" w:eastAsia="zh-CN"/>
        </w:rPr>
        <w:t>牵头，市交通运输</w:t>
      </w:r>
      <w:r>
        <w:rPr>
          <w:rFonts w:hint="eastAsia" w:ascii="仿宋_GB2312" w:hAnsi="仿宋_GB2312" w:eastAsia="仿宋_GB2312" w:cs="仿宋_GB2312"/>
          <w:sz w:val="32"/>
          <w:szCs w:val="32"/>
          <w:highlight w:val="none"/>
          <w:lang w:val="en-US" w:eastAsia="zh-CN"/>
        </w:rPr>
        <w:t>局局属各办公室负责人</w:t>
      </w:r>
      <w:r>
        <w:rPr>
          <w:rFonts w:hint="eastAsia" w:ascii="仿宋_GB2312" w:hAnsi="仿宋_GB2312" w:eastAsia="仿宋_GB2312" w:cs="仿宋_GB2312"/>
          <w:sz w:val="32"/>
          <w:szCs w:val="32"/>
          <w:highlight w:val="none"/>
          <w:lang w:val="zh-CN" w:eastAsia="zh-CN"/>
        </w:rPr>
        <w:t>负责市交通运输局级层面预警信息收集、整理和风险分析工作，发布经审定的预警信息，同时拓展预警信息发布手段，提升预警信息发布信息化、现代化水平。市交通运输</w:t>
      </w:r>
      <w:r>
        <w:rPr>
          <w:rFonts w:hint="eastAsia" w:ascii="仿宋_GB2312" w:hAnsi="仿宋_GB2312" w:eastAsia="仿宋_GB2312" w:cs="仿宋_GB2312"/>
          <w:sz w:val="32"/>
          <w:szCs w:val="32"/>
          <w:highlight w:val="none"/>
          <w:lang w:val="en-US" w:eastAsia="zh-CN"/>
        </w:rPr>
        <w:t>局局属各办公室负责人</w:t>
      </w:r>
      <w:r>
        <w:rPr>
          <w:rFonts w:hint="eastAsia" w:ascii="仿宋_GB2312" w:hAnsi="仿宋_GB2312" w:eastAsia="仿宋_GB2312" w:cs="仿宋_GB2312"/>
          <w:sz w:val="32"/>
          <w:szCs w:val="32"/>
          <w:highlight w:val="none"/>
          <w:lang w:val="zh-CN" w:eastAsia="zh-CN"/>
        </w:rPr>
        <w:t>根据职责分工做好相应预警信息收集、整理、风险分析和发布工作，并及时上报至</w:t>
      </w:r>
      <w:r>
        <w:rPr>
          <w:rFonts w:hint="eastAsia" w:ascii="仿宋_GB2312" w:hAnsi="仿宋_GB2312" w:eastAsia="仿宋_GB2312" w:cs="仿宋_GB2312"/>
          <w:sz w:val="32"/>
          <w:szCs w:val="32"/>
          <w:highlight w:val="none"/>
          <w:lang w:val="en-US" w:eastAsia="zh-CN"/>
        </w:rPr>
        <w:t>交通运输</w:t>
      </w:r>
      <w:r>
        <w:rPr>
          <w:rFonts w:hint="eastAsia" w:ascii="仿宋_GB2312" w:hAnsi="仿宋_GB2312" w:eastAsia="仿宋_GB2312" w:cs="仿宋_GB2312"/>
          <w:sz w:val="32"/>
          <w:szCs w:val="32"/>
          <w:highlight w:val="none"/>
          <w:lang w:val="zh-CN" w:eastAsia="zh-CN"/>
        </w:rPr>
        <w:t>市交通运输局应急办，具体处理防御工作事务，做到早发现、早预防、早报告、早处置。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风险和事故信息实行逐级上报，情况紧急时可直接向政府有关部门报告。报送程序按交通运输部颁布实施的《交通运输突发事件信息报告和处理办法》（见附录</w:t>
      </w:r>
      <w:r>
        <w:rPr>
          <w:rFonts w:hint="eastAsia" w:ascii="仿宋_GB2312" w:hAnsi="仿宋_GB2312" w:eastAsia="仿宋_GB2312" w:cs="仿宋_GB2312"/>
          <w:sz w:val="32"/>
          <w:szCs w:val="32"/>
          <w:highlight w:val="none"/>
          <w:lang w:val="en-US" w:eastAsia="zh-CN"/>
        </w:rPr>
        <w:t>9.12</w:t>
      </w:r>
      <w:r>
        <w:rPr>
          <w:rFonts w:hint="eastAsia" w:ascii="仿宋_GB2312" w:hAnsi="仿宋_GB2312" w:eastAsia="仿宋_GB2312" w:cs="仿宋_GB2312"/>
          <w:sz w:val="32"/>
          <w:szCs w:val="32"/>
          <w:highlight w:val="none"/>
          <w:lang w:val="zh-CN" w:eastAsia="zh-CN"/>
        </w:rPr>
        <w:t>）执行，每级报告间隔时间不得超过2小时。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公路交通运输生产事故</w:t>
      </w:r>
      <w:r>
        <w:rPr>
          <w:rFonts w:hint="eastAsia" w:ascii="仿宋_GB2312" w:hAnsi="仿宋_GB2312" w:eastAsia="仿宋_GB2312" w:cs="仿宋_GB2312"/>
          <w:sz w:val="32"/>
          <w:szCs w:val="32"/>
          <w:highlight w:val="none"/>
          <w:lang w:val="zh-CN" w:eastAsia="zh-CN"/>
        </w:rPr>
        <w:t>、公共卫生、社会安全等类别突发事件的预防预警工作可参照省、市相关专项预案等文件要求，以及本预案预警信息收集、发布和防御响应等相应措施执行。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highlight w:val="none"/>
          <w:lang w:val="zh-CN" w:eastAsia="zh-CN"/>
        </w:rPr>
      </w:pPr>
      <w:bookmarkStart w:id="204" w:name="_Toc13799"/>
      <w:bookmarkStart w:id="205" w:name="_Toc3770"/>
      <w:bookmarkStart w:id="206" w:name="_Toc22417"/>
      <w:bookmarkStart w:id="207" w:name="_Toc18838"/>
      <w:r>
        <w:rPr>
          <w:rFonts w:hint="eastAsia" w:ascii="黑体" w:hAnsi="黑体" w:eastAsia="黑体" w:cs="黑体"/>
          <w:b w:val="0"/>
          <w:bCs/>
          <w:color w:val="auto"/>
          <w:sz w:val="32"/>
          <w:szCs w:val="32"/>
          <w:highlight w:val="none"/>
          <w:lang w:val="en-US" w:eastAsia="zh-CN"/>
        </w:rPr>
        <w:t>4</w:t>
      </w:r>
      <w:r>
        <w:rPr>
          <w:rFonts w:hint="eastAsia" w:ascii="黑体" w:hAnsi="黑体" w:eastAsia="黑体" w:cs="黑体"/>
          <w:b w:val="0"/>
          <w:bCs/>
          <w:color w:val="auto"/>
          <w:sz w:val="32"/>
          <w:szCs w:val="32"/>
          <w:highlight w:val="none"/>
          <w:lang w:val="zh-CN" w:eastAsia="zh-CN"/>
        </w:rPr>
        <w:t>.2预警信息收集</w:t>
      </w:r>
      <w:bookmarkEnd w:id="204"/>
      <w:bookmarkEnd w:id="205"/>
      <w:bookmarkEnd w:id="206"/>
      <w:bookmarkEnd w:id="207"/>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en-US" w:eastAsia="zh-CN" w:bidi="ar-SA"/>
        </w:rPr>
        <w:t>4</w:t>
      </w:r>
      <w:r>
        <w:rPr>
          <w:rFonts w:hint="eastAsia" w:ascii="仿宋_GB2312" w:hAnsi="仿宋_GB2312" w:eastAsia="仿宋_GB2312" w:cs="仿宋_GB2312"/>
          <w:b/>
          <w:bCs/>
          <w:color w:val="auto"/>
          <w:kern w:val="0"/>
          <w:sz w:val="32"/>
          <w:szCs w:val="32"/>
          <w:highlight w:val="none"/>
          <w:lang w:val="zh-CN" w:eastAsia="zh-CN" w:bidi="ar-SA"/>
        </w:rPr>
        <w:t>.2.1预警信息内容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预警信息主要包括以下内容：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1）热带气旋（包括：超强台风、强台风、台风、强热带风暴、热带风暴）中心地理位置，中心气压，中心最大风力，7级风圈半径，10级风圈半径，预计6、12、24、48小时后中心地理位置，中心未来移动路径及强度变化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（2）其他可能对交通造成影响的极端天气的起始时间、强度、范围、持续时间、强度变化或可能对防御极端天气有利的各种信息。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（3）地质灾害类型、出现的时间、地点、规模、可能引发的因素和发展趋势等。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（4）公路交通拥堵和中断，公路严重环境污染信息等。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（5）其他可能涉及交通运输行业的自然灾害信息。</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en-US" w:eastAsia="zh-CN" w:bidi="ar-SA"/>
        </w:rPr>
        <w:t>4</w:t>
      </w:r>
      <w:r>
        <w:rPr>
          <w:rFonts w:hint="eastAsia" w:ascii="仿宋_GB2312" w:hAnsi="仿宋_GB2312" w:eastAsia="仿宋_GB2312" w:cs="仿宋_GB2312"/>
          <w:b/>
          <w:bCs/>
          <w:color w:val="auto"/>
          <w:kern w:val="0"/>
          <w:sz w:val="32"/>
          <w:szCs w:val="32"/>
          <w:highlight w:val="none"/>
          <w:lang w:val="zh-CN" w:eastAsia="zh-CN" w:bidi="ar-SA"/>
        </w:rPr>
        <w:t>.2.2预警信息来源</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预警信息主要来源：</w:t>
      </w:r>
      <w:bookmarkStart w:id="208" w:name="_Toc12757"/>
      <w:bookmarkStart w:id="209" w:name="_Toc12805"/>
      <w:bookmarkStart w:id="210" w:name="_Toc4087"/>
      <w:r>
        <w:rPr>
          <w:rFonts w:hint="eastAsia" w:ascii="仿宋_GB2312" w:hAnsi="仿宋_GB2312" w:eastAsia="仿宋_GB2312" w:cs="仿宋_GB2312"/>
          <w:b w:val="0"/>
          <w:bCs w:val="0"/>
          <w:color w:val="auto"/>
          <w:kern w:val="0"/>
          <w:sz w:val="32"/>
          <w:szCs w:val="32"/>
          <w:highlight w:val="none"/>
          <w:lang w:val="zh-CN" w:eastAsia="zh-CN" w:bidi="ar-SA"/>
        </w:rPr>
        <w:t>国家防总、交通运输部、省“三防”办、省气象局、省地震局、省自然资源和规划厅、省水务局、市应急管理局、市自然资源和规划局、市水务局、市气象局及其他可能的预警信息来源。</w:t>
      </w:r>
      <w:bookmarkEnd w:id="208"/>
      <w:bookmarkEnd w:id="209"/>
      <w:bookmarkEnd w:id="210"/>
      <w:bookmarkStart w:id="211" w:name="_Toc14879"/>
      <w:bookmarkStart w:id="212" w:name="_Toc1864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cs="宋体"/>
          <w:snapToGrid w:val="0"/>
          <w:color w:val="auto"/>
          <w:kern w:val="0"/>
          <w:sz w:val="28"/>
          <w:szCs w:val="28"/>
          <w:highlight w:val="none"/>
        </w:rPr>
      </w:pPr>
      <w:bookmarkStart w:id="213" w:name="_Toc17965"/>
      <w:r>
        <w:rPr>
          <w:rFonts w:hint="eastAsia" w:ascii="黑体" w:hAnsi="黑体" w:eastAsia="黑体" w:cs="黑体"/>
          <w:b w:val="0"/>
          <w:bCs/>
          <w:color w:val="auto"/>
          <w:kern w:val="44"/>
          <w:sz w:val="32"/>
          <w:szCs w:val="32"/>
          <w:highlight w:val="none"/>
          <w:lang w:val="en-US" w:eastAsia="zh-CN" w:bidi="ar"/>
        </w:rPr>
        <w:t>4</w:t>
      </w:r>
      <w:r>
        <w:rPr>
          <w:rFonts w:hint="eastAsia" w:ascii="黑体" w:hAnsi="黑体" w:eastAsia="黑体" w:cs="黑体"/>
          <w:b w:val="0"/>
          <w:bCs/>
          <w:color w:val="auto"/>
          <w:kern w:val="44"/>
          <w:sz w:val="32"/>
          <w:szCs w:val="32"/>
          <w:highlight w:val="none"/>
          <w:lang w:val="zh-CN" w:eastAsia="zh-CN" w:bidi="ar"/>
        </w:rPr>
        <w:t>.3预警信息发布</w:t>
      </w:r>
      <w:bookmarkEnd w:id="211"/>
      <w:bookmarkEnd w:id="212"/>
      <w:bookmarkEnd w:id="2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市交通运输局正式发布的Ⅳ级及以上预警信息，由局</w:t>
      </w:r>
      <w:r>
        <w:rPr>
          <w:rFonts w:hint="eastAsia" w:ascii="仿宋_GB2312" w:hAnsi="仿宋_GB2312" w:eastAsia="仿宋_GB2312" w:cs="仿宋_GB2312"/>
          <w:b w:val="0"/>
          <w:bCs w:val="0"/>
          <w:color w:val="auto"/>
          <w:kern w:val="0"/>
          <w:sz w:val="32"/>
          <w:szCs w:val="32"/>
          <w:highlight w:val="none"/>
          <w:lang w:val="en-US" w:eastAsia="zh-CN" w:bidi="ar-SA"/>
        </w:rPr>
        <w:t>属</w:t>
      </w:r>
      <w:r>
        <w:rPr>
          <w:rFonts w:hint="eastAsia" w:ascii="仿宋_GB2312" w:hAnsi="仿宋_GB2312" w:eastAsia="仿宋_GB2312" w:cs="仿宋_GB2312"/>
          <w:b w:val="0"/>
          <w:bCs w:val="0"/>
          <w:color w:val="auto"/>
          <w:kern w:val="0"/>
          <w:sz w:val="32"/>
          <w:szCs w:val="32"/>
          <w:highlight w:val="none"/>
          <w:lang w:val="zh-CN" w:eastAsia="zh-CN" w:bidi="ar-SA"/>
        </w:rPr>
        <w:t>有关办公室通过下发明传电报、召开视频会议等形式进行发布；其他预警信息，通过工作平台、工作群等渠道进行发布。</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市各级交通运输部门须做好预警信息的接收和转发工作，接到预警信息后，尤其是涉及本部门的预警信息，应及时进行传达或转发。对社会公众发布的预警信息，由同级宣传部门审核后方可发布。</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根据“统一领导、分级负责”的工作原则，市各级交通运输部门负责本部门预警信息收集、分析和发布工作，对可能超出本级防御能力的预警信息，要及时上报市交通运输局应急办。</w:t>
      </w:r>
      <w:bookmarkStart w:id="214" w:name="_Toc23182"/>
      <w:bookmarkStart w:id="215" w:name="_Toc6085"/>
      <w:bookmarkStart w:id="216" w:name="_Toc4280"/>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40"/>
          <w:highlight w:val="none"/>
          <w:lang w:val="en-US" w:eastAsia="zh-CN"/>
        </w:rPr>
      </w:pPr>
      <w:r>
        <w:rPr>
          <w:rFonts w:hint="eastAsia" w:ascii="黑体" w:hAnsi="黑体" w:eastAsia="黑体" w:cs="黑体"/>
          <w:b w:val="0"/>
          <w:bCs w:val="0"/>
          <w:color w:val="auto"/>
          <w:sz w:val="32"/>
          <w:szCs w:val="40"/>
          <w:highlight w:val="none"/>
          <w:lang w:val="en-US" w:eastAsia="zh-CN"/>
        </w:rPr>
        <w:t>4.4防御响应</w:t>
      </w:r>
      <w:bookmarkEnd w:id="214"/>
      <w:bookmarkEnd w:id="215"/>
      <w:bookmarkEnd w:id="216"/>
      <w:bookmarkStart w:id="217" w:name="_Toc24186"/>
      <w:bookmarkStart w:id="218" w:name="_Toc29651"/>
      <w:bookmarkStart w:id="219" w:name="_Toc841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防御响应是通过对接收的极端恶劣天气、地质灾害等预警信息进行定性定量分析，预估潜在风险及其影响程度，在突发事件发生前采取的应对措施。防御响应是预防预警机制的重要内容，按照属地为主、分级响应的原则，具有相对独立的启动条件和应对措施。</w:t>
      </w:r>
      <w:bookmarkEnd w:id="217"/>
      <w:bookmarkEnd w:id="218"/>
      <w:bookmarkEnd w:id="21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本预案明确了台风的市本级的防御响应工作，以及其他自然灾害的防御响应启动条件。其他自然灾害的防御响应措施，可参照台风的防御工作执行。</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4.4.1台风防御响应</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4.4.1.1分级防御响应条件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根据气象等部门对台风的预警等级，预计对交通运输造成影响的范围和程度以及</w:t>
      </w:r>
      <w:r>
        <w:rPr>
          <w:rFonts w:hint="eastAsia" w:ascii="仿宋_GB2312" w:hAnsi="仿宋_GB2312" w:eastAsia="仿宋_GB2312" w:cs="仿宋_GB2312"/>
          <w:b w:val="0"/>
          <w:bCs w:val="0"/>
          <w:color w:val="auto"/>
          <w:kern w:val="0"/>
          <w:sz w:val="32"/>
          <w:szCs w:val="32"/>
          <w:highlight w:val="none"/>
          <w:lang w:val="zh-CN" w:eastAsia="zh-CN" w:bidi="ar-SA"/>
        </w:rPr>
        <w:t>《海南省交通运输突发事件综合应急预案》，</w:t>
      </w:r>
      <w:r>
        <w:rPr>
          <w:rFonts w:hint="eastAsia" w:ascii="仿宋_GB2312" w:hAnsi="仿宋_GB2312" w:eastAsia="仿宋_GB2312" w:cs="仿宋_GB2312"/>
          <w:b w:val="0"/>
          <w:bCs w:val="0"/>
          <w:color w:val="auto"/>
          <w:kern w:val="0"/>
          <w:sz w:val="32"/>
          <w:szCs w:val="32"/>
          <w:highlight w:val="none"/>
          <w:lang w:val="en-US" w:eastAsia="zh-CN" w:bidi="ar-SA"/>
        </w:rPr>
        <w:t>对台风防御响应分四级（防御响应启动条件见附录9.8）。</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4.4.1.2防御响应启动程序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台风影响我市陆地前，根据台风的预警等级和可能造成影响的评估，综合考虑交通运输部、省人民政府、省‘三防’办、市人民政府、市应急管理局的工作部署和要求，由市交通运输局应急办研究提出本市级防御台风响应等级和启动时间，并报局领导同意后发布。</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4.4.1.3分级防御响应措施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auto"/>
          <w:kern w:val="0"/>
          <w:sz w:val="32"/>
          <w:szCs w:val="32"/>
          <w:highlight w:val="none"/>
          <w:lang w:val="en-US" w:eastAsia="zh-CN" w:bidi="ar-SA"/>
        </w:rPr>
      </w:pPr>
      <w:r>
        <w:rPr>
          <w:rFonts w:hint="eastAsia" w:ascii="楷体" w:hAnsi="楷体" w:eastAsia="楷体" w:cs="楷体"/>
          <w:b w:val="0"/>
          <w:bCs w:val="0"/>
          <w:color w:val="auto"/>
          <w:kern w:val="0"/>
          <w:sz w:val="32"/>
          <w:szCs w:val="32"/>
          <w:highlight w:val="none"/>
          <w:lang w:val="en-US" w:eastAsia="zh-CN" w:bidi="ar-SA"/>
        </w:rPr>
        <w:t>Ⅰ级、Ⅱ级、Ⅲ级防御响应措施：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由市交通运输局领导组织召开防御台风会议，</w:t>
      </w:r>
      <w:r>
        <w:rPr>
          <w:rFonts w:hint="eastAsia" w:ascii="仿宋_GB2312" w:hAnsi="仿宋_GB2312" w:eastAsia="仿宋_GB2312" w:cs="仿宋_GB2312"/>
          <w:color w:val="auto"/>
          <w:sz w:val="32"/>
          <w:szCs w:val="32"/>
          <w:highlight w:val="none"/>
          <w:lang w:val="en-US" w:eastAsia="zh-CN"/>
        </w:rPr>
        <w:t>五指山公路分局、市交通运输局局属各办公室负责人</w:t>
      </w:r>
      <w:r>
        <w:rPr>
          <w:rFonts w:hint="eastAsia" w:ascii="仿宋_GB2312" w:hAnsi="仿宋_GB2312" w:eastAsia="仿宋_GB2312" w:cs="仿宋_GB2312"/>
          <w:b w:val="0"/>
          <w:bCs w:val="0"/>
          <w:color w:val="auto"/>
          <w:kern w:val="0"/>
          <w:sz w:val="32"/>
          <w:szCs w:val="32"/>
          <w:highlight w:val="none"/>
          <w:lang w:val="en-US" w:eastAsia="zh-CN" w:bidi="ar-SA"/>
        </w:rPr>
        <w:t>和行业管理机构主要负责人参会，指导防御响应工作；台风在未来8小时内登陆我市陆地且预计中心风力分别达到16级、14级、12级时，市交通运输局领导、市交通运输局局属各办公室负责人应在局应急值守；市交通运输局应急办向省交通运输厅、市政府办公室、市应急管理局报告交通运输局防御台风工作部署情况。台风登陆2-6小时内，对防御台风工作和台风对交通运输造成的影响进行报告，防御响应结束后报告防御台风工作总结。局属单位和行业管理机构主要负责人应到本单位值班室加强防御台风值班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Ⅳ级防御响应措施：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市交通运输局应急办加强与气象预报部门和应急管理局办的联系，提醒可能受热带气旋影响地区的交通运输主管部门和行业管理机构做好防御工作</w:t>
      </w:r>
      <w:bookmarkStart w:id="220" w:name="_Toc15293"/>
      <w:r>
        <w:rPr>
          <w:rFonts w:hint="eastAsia" w:ascii="仿宋_GB2312" w:hAnsi="仿宋_GB2312" w:eastAsia="仿宋_GB2312" w:cs="仿宋_GB2312"/>
          <w:b w:val="0"/>
          <w:bCs w:val="0"/>
          <w:color w:val="auto"/>
          <w:kern w:val="0"/>
          <w:sz w:val="32"/>
          <w:szCs w:val="32"/>
          <w:highlight w:val="none"/>
          <w:lang w:val="en-US" w:eastAsia="zh-CN" w:bidi="ar-SA"/>
        </w:rPr>
        <w:t>。</w:t>
      </w:r>
    </w:p>
    <w:p>
      <w:pPr>
        <w:pStyle w:val="3"/>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b w:val="0"/>
          <w:bCs w:val="0"/>
          <w:color w:val="auto"/>
          <w:highlight w:val="none"/>
          <w:lang w:val="en-US" w:eastAsia="zh-CN"/>
        </w:rPr>
      </w:pPr>
      <w:bookmarkStart w:id="221" w:name="_Toc29379"/>
      <w:r>
        <w:rPr>
          <w:rFonts w:hint="eastAsia" w:ascii="黑体" w:hAnsi="黑体" w:eastAsia="黑体" w:cs="黑体"/>
          <w:b w:val="0"/>
          <w:bCs w:val="0"/>
          <w:color w:val="auto"/>
          <w:highlight w:val="none"/>
          <w:lang w:val="en-US" w:eastAsia="zh-CN"/>
        </w:rPr>
        <w:t>4.5防御响应结束</w:t>
      </w:r>
      <w:bookmarkEnd w:id="220"/>
      <w:bookmarkEnd w:id="22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当台风对交通运输无影响后或者预警减弱为蓝色预警以下时防御响应结束。若在防御响应期间发生了突发事件，则按照响应的突发事件应急预案启动应急响应，开展应急处置工作。</w:t>
      </w:r>
      <w:bookmarkStart w:id="222" w:name="_Toc4524"/>
    </w:p>
    <w:p>
      <w:pPr>
        <w:pStyle w:val="3"/>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color w:val="auto"/>
          <w:highlight w:val="none"/>
          <w:lang w:val="en-US" w:eastAsia="zh-CN"/>
        </w:rPr>
      </w:pPr>
      <w:bookmarkStart w:id="223" w:name="_Toc8760"/>
      <w:r>
        <w:rPr>
          <w:rFonts w:hint="eastAsia" w:ascii="黑体" w:hAnsi="黑体" w:eastAsia="黑体" w:cs="黑体"/>
          <w:b w:val="0"/>
          <w:bCs w:val="0"/>
          <w:color w:val="auto"/>
          <w:highlight w:val="none"/>
          <w:lang w:val="en-US" w:eastAsia="zh-CN"/>
        </w:rPr>
        <w:t>4.6信息报告</w:t>
      </w:r>
      <w:bookmarkEnd w:id="222"/>
      <w:bookmarkEnd w:id="223"/>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4.6.1报告程序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市交通运输局应急办值班员发现或接到交通运输突发事件报告时，迅速确认交通运输突发事件性质和预判等级，立即向市交通运输应急领导机构报告，并在2小时内向上级应急机构报告。</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4.6.2报告内容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应急情况报告应快捷、准确、直报、续报。突发事件快报及续报应当包括以下内容：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（1）事件单位的名称、负责人、联系电话和地址；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（2）事件发生的时间、地点；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（3）事件起因、性质、基本过程、已经或可能造成的危害程度、影响范围、伤亡人数、直接经济损失；</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（4）已采取的措施，下一步的工作计划；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bookmarkStart w:id="224" w:name="_Toc27004"/>
      <w:r>
        <w:rPr>
          <w:rFonts w:hint="eastAsia" w:ascii="仿宋_GB2312" w:hAnsi="仿宋_GB2312" w:eastAsia="仿宋_GB2312" w:cs="仿宋_GB2312"/>
          <w:b w:val="0"/>
          <w:bCs w:val="0"/>
          <w:color w:val="auto"/>
          <w:kern w:val="0"/>
          <w:sz w:val="32"/>
          <w:szCs w:val="32"/>
          <w:highlight w:val="none"/>
          <w:lang w:val="en-US" w:eastAsia="zh-CN" w:bidi="ar-SA"/>
        </w:rPr>
        <w:t>（5）信息报送单位、联系人和联系电话等；</w:t>
      </w:r>
      <w:bookmarkEnd w:id="22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（6）其他需上报的有关事项。</w:t>
      </w:r>
      <w:bookmarkStart w:id="225" w:name="_Toc9192"/>
      <w:bookmarkStart w:id="226" w:name="_Toc14809"/>
    </w:p>
    <w:p>
      <w:pPr>
        <w:pStyle w:val="3"/>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color w:val="auto"/>
          <w:highlight w:val="none"/>
          <w:lang w:val="zh-CN" w:eastAsia="zh-CN"/>
        </w:rPr>
      </w:pPr>
      <w:bookmarkStart w:id="227" w:name="_Toc24575"/>
      <w:r>
        <w:rPr>
          <w:rFonts w:hint="eastAsia" w:ascii="黑体" w:hAnsi="黑体" w:eastAsia="黑体" w:cs="黑体"/>
          <w:b w:val="0"/>
          <w:bCs w:val="0"/>
          <w:color w:val="auto"/>
          <w:highlight w:val="none"/>
          <w:lang w:val="en-US" w:eastAsia="zh-CN"/>
        </w:rPr>
        <w:t>5.</w:t>
      </w:r>
      <w:r>
        <w:rPr>
          <w:rFonts w:hint="eastAsia" w:ascii="黑体" w:hAnsi="黑体" w:eastAsia="黑体" w:cs="黑体"/>
          <w:b w:val="0"/>
          <w:bCs w:val="0"/>
          <w:color w:val="auto"/>
          <w:highlight w:val="none"/>
          <w:lang w:val="zh-CN" w:eastAsia="zh-CN"/>
        </w:rPr>
        <w:t>应急响应</w:t>
      </w:r>
      <w:bookmarkEnd w:id="225"/>
      <w:bookmarkEnd w:id="226"/>
      <w:bookmarkEnd w:id="227"/>
      <w:bookmarkStart w:id="228" w:name="_Toc15565"/>
      <w:bookmarkStart w:id="229" w:name="_Toc32674"/>
    </w:p>
    <w:p>
      <w:pPr>
        <w:pStyle w:val="3"/>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color w:val="auto"/>
          <w:highlight w:val="none"/>
          <w:lang w:val="en-US" w:eastAsia="zh-CN"/>
        </w:rPr>
      </w:pPr>
      <w:bookmarkStart w:id="230" w:name="_Toc20452"/>
      <w:r>
        <w:rPr>
          <w:rFonts w:hint="eastAsia" w:ascii="黑体" w:hAnsi="黑体" w:eastAsia="黑体" w:cs="黑体"/>
          <w:b w:val="0"/>
          <w:bCs w:val="0"/>
          <w:color w:val="auto"/>
          <w:highlight w:val="none"/>
          <w:lang w:val="en-US" w:eastAsia="zh-CN"/>
        </w:rPr>
        <w:t>5.1先期处置</w:t>
      </w:r>
      <w:bookmarkEnd w:id="228"/>
      <w:bookmarkEnd w:id="229"/>
      <w:bookmarkEnd w:id="23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市交通运输有关部门在发现或接到交通运输突发事件报告后，经核实，应依据职责分工，立即组织调集力量开展应急处置工作，全力控制事态发展。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1）事件发生地交通运输部门接到报警，经核实后及时向当地政府、上级主管部门报告突发事件信息，并派相关负责人前往事发现场，组织指挥有关人员进行先期处置，尽快判明事件性质和危害程度，及时采取相应的处置措施控制事态发展，必要时迅速请求当地公安、医疗、消防等部门参与现场勘察、保护和治安维护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2）事件发生地交通运输部门根据突发事件级别，按程序及时启动相关应急预案，要在当地政府统一领导下开展应急处置工作，要配合当地公安、医疗、消防等部门对进入危险现场的应急工作人员和可能威胁到安全的现场周围群众及重要物资和设备实施安全保护，并将处置情况和事态及时报上一级交通运输部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（3）当超出本级应急处置能力时，报请上级交通运输部门给予支持。</w:t>
      </w:r>
      <w:bookmarkStart w:id="231" w:name="_Toc13163"/>
      <w:bookmarkStart w:id="232" w:name="_Toc12385"/>
    </w:p>
    <w:p>
      <w:pPr>
        <w:pStyle w:val="3"/>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color w:val="auto"/>
          <w:highlight w:val="none"/>
          <w:lang w:val="en-US" w:eastAsia="zh-CN"/>
        </w:rPr>
      </w:pPr>
      <w:bookmarkStart w:id="233" w:name="_Toc7034"/>
      <w:r>
        <w:rPr>
          <w:rFonts w:hint="eastAsia" w:ascii="黑体" w:hAnsi="黑体" w:eastAsia="黑体" w:cs="黑体"/>
          <w:b w:val="0"/>
          <w:bCs w:val="0"/>
          <w:color w:val="auto"/>
          <w:highlight w:val="none"/>
          <w:lang w:val="en-US" w:eastAsia="zh-CN"/>
        </w:rPr>
        <w:t>5.2分级响应</w:t>
      </w:r>
      <w:bookmarkEnd w:id="231"/>
      <w:bookmarkEnd w:id="232"/>
      <w:bookmarkEnd w:id="23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五指山市交通运输突发事件应急响应分为特别重大（Ⅰ级）、重大（Ⅱ级）、较大（Ⅲ级）和一般（Ⅳ级）四级，分别用红色、橙色、黄色和蓝色来表示。启动Ⅰ级、Ⅱ级和Ⅲ级交通运输突发事件应急响应，需向市人民政府及省交通运输厅报告，启动Ⅳ级应急响应，必要时向省交通运输厅报告。</w:t>
      </w:r>
    </w:p>
    <w:p>
      <w:pPr>
        <w:snapToGrid w:val="0"/>
        <w:spacing w:before="156" w:beforeLines="50" w:after="156" w:afterLines="50"/>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表</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 xml:space="preserve">  交通运输突发事件应急响应级别</w:t>
      </w:r>
    </w:p>
    <w:tbl>
      <w:tblPr>
        <w:tblStyle w:val="10"/>
        <w:tblW w:w="8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36"/>
        <w:gridCol w:w="636"/>
        <w:gridCol w:w="6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after="78" w:afterLines="25"/>
              <w:ind w:left="-160" w:leftChars="-50" w:right="-160" w:rightChars="-50"/>
              <w:jc w:val="center"/>
              <w:rPr>
                <w:b/>
                <w:bCs/>
                <w:color w:val="auto"/>
                <w:szCs w:val="21"/>
                <w:highlight w:val="none"/>
              </w:rPr>
            </w:pPr>
            <w:r>
              <w:rPr>
                <w:rFonts w:hint="eastAsia"/>
                <w:b/>
                <w:bCs/>
                <w:color w:val="auto"/>
                <w:szCs w:val="21"/>
                <w:highlight w:val="none"/>
              </w:rPr>
              <w:t>响应</w:t>
            </w:r>
            <w:r>
              <w:rPr>
                <w:b/>
                <w:bCs/>
                <w:color w:val="auto"/>
                <w:szCs w:val="21"/>
                <w:highlight w:val="none"/>
              </w:rPr>
              <w:t>级别</w:t>
            </w:r>
          </w:p>
        </w:tc>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after="78" w:afterLines="25"/>
              <w:ind w:left="-160" w:leftChars="-50" w:right="-160" w:rightChars="-50"/>
              <w:jc w:val="center"/>
              <w:rPr>
                <w:b/>
                <w:bCs/>
                <w:color w:val="auto"/>
                <w:szCs w:val="21"/>
                <w:highlight w:val="none"/>
              </w:rPr>
            </w:pPr>
            <w:r>
              <w:rPr>
                <w:b/>
                <w:bCs/>
                <w:color w:val="auto"/>
                <w:szCs w:val="21"/>
                <w:highlight w:val="none"/>
              </w:rPr>
              <w:t>级别描述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after="78" w:afterLines="25"/>
              <w:ind w:left="-160" w:leftChars="-50" w:right="-160" w:rightChars="-50"/>
              <w:jc w:val="center"/>
              <w:rPr>
                <w:b/>
                <w:bCs/>
                <w:color w:val="auto"/>
                <w:szCs w:val="21"/>
                <w:highlight w:val="none"/>
              </w:rPr>
            </w:pPr>
            <w:r>
              <w:rPr>
                <w:b/>
                <w:bCs/>
                <w:color w:val="auto"/>
                <w:szCs w:val="21"/>
                <w:highlight w:val="none"/>
              </w:rPr>
              <w:t>颜色标示</w:t>
            </w:r>
          </w:p>
        </w:tc>
        <w:tc>
          <w:tcPr>
            <w:tcW w:w="655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after="78" w:afterLines="25"/>
              <w:ind w:left="-160" w:leftChars="-50" w:right="-160" w:rightChars="-50"/>
              <w:jc w:val="center"/>
              <w:rPr>
                <w:b/>
                <w:bCs/>
                <w:color w:val="auto"/>
                <w:szCs w:val="21"/>
                <w:highlight w:val="none"/>
              </w:rPr>
            </w:pPr>
            <w:r>
              <w:rPr>
                <w:rFonts w:hint="eastAsia"/>
                <w:b/>
                <w:bCs/>
                <w:color w:val="auto"/>
                <w:szCs w:val="21"/>
                <w:highlight w:val="none"/>
                <w:lang w:eastAsia="zh-CN"/>
              </w:rPr>
              <w:t>响应启动条件和情形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before="78" w:beforeLines="25" w:after="78" w:afterLines="25"/>
              <w:ind w:left="-160" w:leftChars="-50" w:right="-160" w:rightChars="-50"/>
              <w:jc w:val="center"/>
              <w:rPr>
                <w:color w:val="auto"/>
                <w:szCs w:val="21"/>
                <w:highlight w:val="none"/>
              </w:rPr>
            </w:pPr>
            <w:r>
              <w:rPr>
                <w:rFonts w:ascii="宋体" w:hAnsi="宋体"/>
                <w:color w:val="auto"/>
                <w:szCs w:val="21"/>
                <w:highlight w:val="none"/>
              </w:rPr>
              <w:t>Ⅰ级</w:t>
            </w:r>
          </w:p>
        </w:tc>
        <w:tc>
          <w:tcPr>
            <w:tcW w:w="6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before="78" w:beforeLines="25" w:after="78" w:afterLines="25"/>
              <w:ind w:left="-160" w:leftChars="-50" w:right="-160" w:rightChars="-50"/>
              <w:jc w:val="center"/>
              <w:rPr>
                <w:color w:val="auto"/>
                <w:szCs w:val="21"/>
                <w:highlight w:val="none"/>
              </w:rPr>
            </w:pPr>
            <w:r>
              <w:rPr>
                <w:color w:val="auto"/>
                <w:szCs w:val="21"/>
                <w:highlight w:val="none"/>
              </w:rPr>
              <w:t>特别</w:t>
            </w:r>
          </w:p>
          <w:p>
            <w:pPr>
              <w:snapToGrid w:val="0"/>
              <w:spacing w:before="78" w:beforeLines="25" w:after="78" w:afterLines="25"/>
              <w:ind w:left="-160" w:leftChars="-50" w:right="-160" w:rightChars="-50"/>
              <w:jc w:val="center"/>
              <w:rPr>
                <w:rFonts w:hint="eastAsia" w:eastAsia="宋体"/>
                <w:color w:val="auto"/>
                <w:szCs w:val="21"/>
                <w:highlight w:val="none"/>
                <w:lang w:eastAsia="zh-CN"/>
              </w:rPr>
            </w:pPr>
            <w:r>
              <w:rPr>
                <w:rFonts w:hint="eastAsia"/>
                <w:color w:val="auto"/>
                <w:szCs w:val="21"/>
                <w:highlight w:val="none"/>
                <w:lang w:eastAsia="zh-CN"/>
              </w:rPr>
              <w:t>重大</w:t>
            </w:r>
          </w:p>
        </w:tc>
        <w:tc>
          <w:tcPr>
            <w:tcW w:w="636" w:type="dxa"/>
            <w:tcBorders>
              <w:top w:val="single" w:color="auto" w:sz="4" w:space="0"/>
              <w:left w:val="single" w:color="auto" w:sz="4" w:space="0"/>
              <w:bottom w:val="single" w:color="auto" w:sz="4" w:space="0"/>
              <w:right w:val="single" w:color="auto" w:sz="4" w:space="0"/>
            </w:tcBorders>
            <w:shd w:val="clear" w:color="auto" w:fill="FF0000"/>
            <w:noWrap w:val="0"/>
            <w:vAlign w:val="center"/>
          </w:tcPr>
          <w:p>
            <w:pPr>
              <w:snapToGrid w:val="0"/>
              <w:spacing w:before="78" w:beforeLines="25" w:after="78" w:afterLines="25"/>
              <w:ind w:left="-160" w:leftChars="-50" w:right="-160" w:rightChars="-50"/>
              <w:jc w:val="center"/>
              <w:rPr>
                <w:b/>
                <w:color w:val="auto"/>
                <w:szCs w:val="21"/>
                <w:highlight w:val="none"/>
              </w:rPr>
            </w:pPr>
            <w:r>
              <w:rPr>
                <w:b/>
                <w:color w:val="auto"/>
                <w:szCs w:val="21"/>
                <w:highlight w:val="none"/>
              </w:rPr>
              <w:t>红</w:t>
            </w:r>
          </w:p>
          <w:p>
            <w:pPr>
              <w:snapToGrid w:val="0"/>
              <w:spacing w:before="78" w:beforeLines="25" w:after="78" w:afterLines="25"/>
              <w:ind w:left="-160" w:leftChars="-50" w:right="-160" w:rightChars="-50"/>
              <w:jc w:val="center"/>
              <w:rPr>
                <w:color w:val="auto"/>
                <w:szCs w:val="21"/>
                <w:highlight w:val="none"/>
              </w:rPr>
            </w:pPr>
            <w:r>
              <w:rPr>
                <w:b/>
                <w:color w:val="auto"/>
                <w:szCs w:val="21"/>
                <w:highlight w:val="none"/>
              </w:rPr>
              <w:t>色</w:t>
            </w:r>
          </w:p>
        </w:tc>
        <w:tc>
          <w:tcPr>
            <w:tcW w:w="65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highlight w:val="none"/>
              </w:rPr>
            </w:pPr>
            <w:r>
              <w:rPr>
                <w:rFonts w:hint="eastAsia"/>
                <w:color w:val="auto"/>
                <w:highlight w:val="none"/>
              </w:rPr>
              <w:t>有下列情形之一者，为</w:t>
            </w:r>
            <w:r>
              <w:rPr>
                <w:color w:val="auto"/>
                <w:highlight w:val="none"/>
              </w:rPr>
              <w:t>Ⅰ级</w:t>
            </w:r>
            <w:r>
              <w:rPr>
                <w:rFonts w:hint="eastAsia"/>
                <w:color w:val="auto"/>
                <w:highlight w:val="none"/>
              </w:rPr>
              <w:t>交通运输突发事件：</w:t>
            </w:r>
          </w:p>
          <w:p>
            <w:pPr>
              <w:spacing w:line="360" w:lineRule="exact"/>
              <w:rPr>
                <w:rFonts w:hint="eastAsia"/>
                <w:color w:val="auto"/>
                <w:highlight w:val="none"/>
              </w:rPr>
            </w:pPr>
            <w:r>
              <w:rPr>
                <w:rFonts w:hint="eastAsia"/>
                <w:color w:val="auto"/>
                <w:highlight w:val="none"/>
              </w:rPr>
              <w:t>●受台风、洪水等自然灾害、交通运输事故灾难和其他交通运输突发事件影响，</w:t>
            </w:r>
            <w:r>
              <w:rPr>
                <w:rFonts w:hint="eastAsia"/>
                <w:color w:val="auto"/>
                <w:highlight w:val="none"/>
                <w:lang w:eastAsia="zh-CN"/>
              </w:rPr>
              <w:t>省</w:t>
            </w:r>
            <w:r>
              <w:rPr>
                <w:rFonts w:hint="eastAsia"/>
                <w:color w:val="auto"/>
                <w:highlight w:val="none"/>
              </w:rPr>
              <w:t>交通运输厅已启动交通运输综合应急预案</w:t>
            </w:r>
            <w:r>
              <w:rPr>
                <w:color w:val="auto"/>
                <w:highlight w:val="none"/>
              </w:rPr>
              <w:t>Ⅰ级</w:t>
            </w:r>
            <w:r>
              <w:rPr>
                <w:rFonts w:hint="eastAsia"/>
                <w:color w:val="auto"/>
                <w:highlight w:val="none"/>
              </w:rPr>
              <w:t>应急响应的突发事件。</w:t>
            </w:r>
          </w:p>
          <w:p>
            <w:pPr>
              <w:spacing w:line="360" w:lineRule="exact"/>
              <w:rPr>
                <w:rFonts w:hint="eastAsia" w:ascii="仿宋_GB2312" w:hAnsi="仿宋_GB2312" w:cs="仿宋_GB2312"/>
                <w:color w:val="auto"/>
                <w:szCs w:val="32"/>
                <w:highlight w:val="none"/>
              </w:rPr>
            </w:pPr>
            <w:r>
              <w:rPr>
                <w:rFonts w:hint="eastAsia"/>
                <w:color w:val="auto"/>
                <w:highlight w:val="none"/>
              </w:rPr>
              <w:t>●发生</w:t>
            </w:r>
            <w:r>
              <w:rPr>
                <w:rFonts w:hint="eastAsia"/>
                <w:color w:val="auto"/>
                <w:highlight w:val="none"/>
                <w:lang w:val="en-US" w:eastAsia="zh-CN"/>
              </w:rPr>
              <w:t>100名（含）以上</w:t>
            </w:r>
            <w:r>
              <w:rPr>
                <w:rFonts w:hint="eastAsia"/>
                <w:color w:val="auto"/>
                <w:highlight w:val="none"/>
              </w:rPr>
              <w:t>交通运输从业人员集体上访、罢工罢运事件，交通运输系统公共卫生突发事件、消防安全事件，车站、</w:t>
            </w:r>
            <w:r>
              <w:rPr>
                <w:rFonts w:hint="eastAsia"/>
                <w:color w:val="auto"/>
                <w:highlight w:val="none"/>
                <w:lang w:eastAsia="zh-CN"/>
              </w:rPr>
              <w:t>车辆</w:t>
            </w:r>
            <w:r>
              <w:rPr>
                <w:rFonts w:hint="eastAsia"/>
                <w:color w:val="auto"/>
                <w:highlight w:val="none"/>
              </w:rPr>
              <w:t>遭受恐怖袭击或极端暴力袭击事件，事态复杂，</w:t>
            </w:r>
            <w:r>
              <w:rPr>
                <w:color w:val="auto"/>
                <w:highlight w:val="none"/>
              </w:rPr>
              <w:t>已经或可能造成</w:t>
            </w:r>
            <w:r>
              <w:rPr>
                <w:rFonts w:hint="eastAsia"/>
                <w:color w:val="auto"/>
                <w:highlight w:val="none"/>
              </w:rPr>
              <w:t>特别</w:t>
            </w:r>
            <w:r>
              <w:rPr>
                <w:color w:val="auto"/>
                <w:highlight w:val="none"/>
              </w:rPr>
              <w:t>重大人员伤亡、</w:t>
            </w:r>
            <w:r>
              <w:rPr>
                <w:rFonts w:hint="eastAsia"/>
                <w:color w:val="auto"/>
                <w:highlight w:val="none"/>
              </w:rPr>
              <w:t>特别</w:t>
            </w:r>
            <w:r>
              <w:rPr>
                <w:color w:val="auto"/>
                <w:highlight w:val="none"/>
              </w:rPr>
              <w:t>重大财</w:t>
            </w:r>
            <w:r>
              <w:rPr>
                <w:rFonts w:hint="eastAsia" w:ascii="仿宋_GB2312" w:hAnsi="仿宋_GB2312" w:cs="仿宋_GB2312"/>
                <w:color w:val="auto"/>
                <w:szCs w:val="32"/>
                <w:highlight w:val="none"/>
              </w:rPr>
              <w:t>产损失、特别恶劣影响的突发事件。</w:t>
            </w:r>
          </w:p>
          <w:p>
            <w:pPr>
              <w:spacing w:line="360" w:lineRule="exact"/>
              <w:rPr>
                <w:color w:val="auto"/>
                <w:highlight w:val="none"/>
              </w:rPr>
            </w:pPr>
            <w:r>
              <w:rPr>
                <w:rFonts w:hint="eastAsia" w:ascii="仿宋_GB2312" w:hAnsi="仿宋_GB2312" w:eastAsia="仿宋_GB2312" w:cs="仿宋_GB2312"/>
                <w:b w:val="0"/>
                <w:bCs w:val="0"/>
                <w:color w:val="auto"/>
                <w:kern w:val="2"/>
                <w:sz w:val="32"/>
                <w:szCs w:val="32"/>
                <w:highlight w:val="none"/>
                <w:lang w:val="en-US" w:eastAsia="zh-CN" w:bidi="ar-SA"/>
              </w:rPr>
              <w:t>●按照交通运输厅和市委市政府的要求需要启动Ⅰ级应急响应。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before="78" w:beforeLines="25" w:after="78" w:afterLines="25" w:line="310" w:lineRule="exact"/>
              <w:ind w:left="-160" w:leftChars="-50" w:right="-160" w:rightChars="-50"/>
              <w:jc w:val="center"/>
              <w:rPr>
                <w:color w:val="auto"/>
                <w:szCs w:val="21"/>
                <w:highlight w:val="none"/>
              </w:rPr>
            </w:pPr>
            <w:r>
              <w:rPr>
                <w:rFonts w:ascii="宋体" w:hAnsi="宋体"/>
                <w:color w:val="auto"/>
                <w:szCs w:val="21"/>
                <w:highlight w:val="none"/>
              </w:rPr>
              <w:t>Ⅱ级</w:t>
            </w:r>
          </w:p>
        </w:tc>
        <w:tc>
          <w:tcPr>
            <w:tcW w:w="6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before="78" w:beforeLines="25" w:after="78" w:afterLines="25" w:line="310" w:lineRule="exact"/>
              <w:ind w:left="-160" w:leftChars="-50" w:right="-160" w:rightChars="-50"/>
              <w:jc w:val="center"/>
              <w:rPr>
                <w:color w:val="auto"/>
                <w:szCs w:val="21"/>
                <w:highlight w:val="none"/>
              </w:rPr>
            </w:pPr>
            <w:r>
              <w:rPr>
                <w:color w:val="auto"/>
                <w:szCs w:val="21"/>
                <w:highlight w:val="none"/>
              </w:rPr>
              <w:t>重</w:t>
            </w:r>
            <w:r>
              <w:rPr>
                <w:rFonts w:hint="eastAsia"/>
                <w:color w:val="auto"/>
                <w:szCs w:val="21"/>
                <w:highlight w:val="none"/>
                <w:lang w:eastAsia="zh-CN"/>
              </w:rPr>
              <w:t>大</w:t>
            </w:r>
          </w:p>
        </w:tc>
        <w:tc>
          <w:tcPr>
            <w:tcW w:w="636" w:type="dxa"/>
            <w:tcBorders>
              <w:top w:val="single" w:color="auto" w:sz="4" w:space="0"/>
              <w:left w:val="single" w:color="auto" w:sz="4" w:space="0"/>
              <w:bottom w:val="single" w:color="auto" w:sz="4" w:space="0"/>
              <w:right w:val="single" w:color="auto" w:sz="4" w:space="0"/>
            </w:tcBorders>
            <w:shd w:val="clear" w:color="auto" w:fill="FF6600"/>
            <w:noWrap w:val="0"/>
            <w:vAlign w:val="center"/>
          </w:tcPr>
          <w:p>
            <w:pPr>
              <w:snapToGrid w:val="0"/>
              <w:spacing w:before="78" w:beforeLines="25" w:after="78" w:afterLines="25" w:line="310" w:lineRule="exact"/>
              <w:ind w:left="-160" w:leftChars="-50" w:right="-160" w:rightChars="-50"/>
              <w:jc w:val="center"/>
              <w:rPr>
                <w:b/>
                <w:bCs/>
                <w:color w:val="auto"/>
                <w:szCs w:val="21"/>
                <w:highlight w:val="none"/>
              </w:rPr>
            </w:pPr>
            <w:r>
              <w:rPr>
                <w:b/>
                <w:bCs/>
                <w:color w:val="auto"/>
                <w:szCs w:val="21"/>
                <w:highlight w:val="none"/>
              </w:rPr>
              <w:t>橙</w:t>
            </w:r>
          </w:p>
          <w:p>
            <w:pPr>
              <w:snapToGrid w:val="0"/>
              <w:spacing w:before="78" w:beforeLines="25" w:after="78" w:afterLines="25" w:line="310" w:lineRule="exact"/>
              <w:ind w:left="-160" w:leftChars="-50" w:right="-160" w:rightChars="-50"/>
              <w:jc w:val="center"/>
              <w:rPr>
                <w:b/>
                <w:bCs/>
                <w:color w:val="auto"/>
                <w:szCs w:val="21"/>
                <w:highlight w:val="none"/>
              </w:rPr>
            </w:pPr>
            <w:r>
              <w:rPr>
                <w:b/>
                <w:bCs/>
                <w:color w:val="auto"/>
                <w:szCs w:val="21"/>
                <w:highlight w:val="none"/>
              </w:rPr>
              <w:t>色</w:t>
            </w:r>
          </w:p>
        </w:tc>
        <w:tc>
          <w:tcPr>
            <w:tcW w:w="6557" w:type="dxa"/>
            <w:tcBorders>
              <w:top w:val="single" w:color="auto" w:sz="4" w:space="0"/>
              <w:left w:val="single" w:color="auto" w:sz="4" w:space="0"/>
              <w:bottom w:val="single" w:color="auto" w:sz="4" w:space="0"/>
              <w:right w:val="single" w:color="auto" w:sz="4" w:space="0"/>
            </w:tcBorders>
            <w:noWrap w:val="0"/>
            <w:vAlign w:val="center"/>
          </w:tcPr>
          <w:p>
            <w:pPr>
              <w:spacing w:line="310" w:lineRule="exact"/>
              <w:rPr>
                <w:rFonts w:hint="eastAsia"/>
                <w:color w:val="auto"/>
                <w:highlight w:val="none"/>
              </w:rPr>
            </w:pPr>
            <w:r>
              <w:rPr>
                <w:rFonts w:hint="eastAsia"/>
                <w:color w:val="auto"/>
                <w:highlight w:val="none"/>
              </w:rPr>
              <w:t>有下列情形之一者，为</w:t>
            </w:r>
            <w:r>
              <w:rPr>
                <w:color w:val="auto"/>
                <w:highlight w:val="none"/>
              </w:rPr>
              <w:t>Ⅱ级</w:t>
            </w:r>
            <w:r>
              <w:rPr>
                <w:rFonts w:hint="eastAsia"/>
                <w:color w:val="auto"/>
                <w:highlight w:val="none"/>
              </w:rPr>
              <w:t>交通运输突发事件：</w:t>
            </w:r>
          </w:p>
          <w:p>
            <w:pPr>
              <w:spacing w:line="310" w:lineRule="exact"/>
              <w:rPr>
                <w:rFonts w:hint="eastAsia"/>
                <w:color w:val="auto"/>
                <w:highlight w:val="none"/>
              </w:rPr>
            </w:pPr>
            <w:r>
              <w:rPr>
                <w:rFonts w:hint="eastAsia"/>
                <w:color w:val="auto"/>
                <w:highlight w:val="none"/>
              </w:rPr>
              <w:t>●受台风、洪水等自然灾害、交通运输事故灾难和其他交通运输突发事件影响，</w:t>
            </w:r>
            <w:r>
              <w:rPr>
                <w:rFonts w:hint="eastAsia"/>
                <w:color w:val="auto"/>
                <w:highlight w:val="none"/>
                <w:lang w:eastAsia="zh-CN"/>
              </w:rPr>
              <w:t>市交通运输局</w:t>
            </w:r>
            <w:r>
              <w:rPr>
                <w:rFonts w:hint="eastAsia"/>
                <w:color w:val="auto"/>
                <w:highlight w:val="none"/>
              </w:rPr>
              <w:t>已启动某一单项Ⅱ</w:t>
            </w:r>
            <w:r>
              <w:rPr>
                <w:color w:val="auto"/>
                <w:highlight w:val="none"/>
              </w:rPr>
              <w:t>级</w:t>
            </w:r>
            <w:r>
              <w:rPr>
                <w:rFonts w:hint="eastAsia"/>
                <w:color w:val="auto"/>
                <w:highlight w:val="none"/>
              </w:rPr>
              <w:t>应急预案，若事态复杂，需</w:t>
            </w:r>
            <w:r>
              <w:rPr>
                <w:rFonts w:hint="eastAsia"/>
                <w:color w:val="auto"/>
                <w:highlight w:val="none"/>
                <w:lang w:eastAsia="zh-CN"/>
              </w:rPr>
              <w:t>市交通运输局</w:t>
            </w:r>
            <w:r>
              <w:rPr>
                <w:rFonts w:hint="eastAsia"/>
                <w:color w:val="auto"/>
                <w:highlight w:val="none"/>
              </w:rPr>
              <w:t>组织协调系统多部门提供交通运输综合应急保障的情况。</w:t>
            </w:r>
          </w:p>
          <w:p>
            <w:pPr>
              <w:spacing w:line="310" w:lineRule="exact"/>
              <w:rPr>
                <w:rFonts w:hint="eastAsia"/>
                <w:color w:val="auto"/>
                <w:highlight w:val="none"/>
              </w:rPr>
            </w:pPr>
            <w:r>
              <w:rPr>
                <w:rFonts w:hint="eastAsia"/>
                <w:color w:val="auto"/>
                <w:highlight w:val="none"/>
              </w:rPr>
              <w:t>●发生</w:t>
            </w:r>
            <w:r>
              <w:rPr>
                <w:rFonts w:hint="eastAsia"/>
                <w:color w:val="auto"/>
                <w:highlight w:val="none"/>
                <w:lang w:val="en-US" w:eastAsia="zh-CN"/>
              </w:rPr>
              <w:t>30名（含）以上</w:t>
            </w:r>
            <w:r>
              <w:rPr>
                <w:rFonts w:hint="eastAsia"/>
                <w:color w:val="auto"/>
                <w:highlight w:val="none"/>
              </w:rPr>
              <w:t>交通运输从业人员集体上访、罢工罢运事件，交通运输系统公共卫生突发事件、消防安全事件，车站、车船遭受恐怖袭击或极端暴力袭击事件，事态复杂，</w:t>
            </w:r>
            <w:r>
              <w:rPr>
                <w:color w:val="auto"/>
                <w:highlight w:val="none"/>
              </w:rPr>
              <w:t>已经或可能造成重大人员伤亡、重大财产损失</w:t>
            </w:r>
            <w:r>
              <w:rPr>
                <w:rFonts w:hint="eastAsia"/>
                <w:color w:val="auto"/>
                <w:highlight w:val="none"/>
              </w:rPr>
              <w:t>、恶劣影响的突发事件。</w:t>
            </w:r>
          </w:p>
          <w:p>
            <w:pPr>
              <w:spacing w:line="310" w:lineRule="exact"/>
              <w:rPr>
                <w:rFonts w:hint="eastAsia"/>
                <w:color w:val="auto"/>
                <w:highlight w:val="none"/>
              </w:rPr>
            </w:pPr>
            <w:r>
              <w:rPr>
                <w:rFonts w:hint="eastAsia"/>
                <w:color w:val="auto"/>
                <w:highlight w:val="none"/>
              </w:rPr>
              <w:t>●</w:t>
            </w:r>
            <w:r>
              <w:rPr>
                <w:color w:val="auto"/>
                <w:highlight w:val="none"/>
              </w:rPr>
              <w:t>其他</w:t>
            </w:r>
            <w:r>
              <w:rPr>
                <w:rFonts w:hint="eastAsia"/>
                <w:color w:val="auto"/>
                <w:highlight w:val="none"/>
              </w:rPr>
              <w:t>市级突发事件Ⅱ</w:t>
            </w:r>
            <w:r>
              <w:rPr>
                <w:color w:val="auto"/>
                <w:highlight w:val="none"/>
              </w:rPr>
              <w:t>级</w:t>
            </w:r>
            <w:r>
              <w:rPr>
                <w:rFonts w:hint="eastAsia"/>
                <w:color w:val="auto"/>
                <w:highlight w:val="none"/>
              </w:rPr>
              <w:t>及以上应急响应，需要</w:t>
            </w:r>
            <w:r>
              <w:rPr>
                <w:rFonts w:hint="eastAsia"/>
                <w:color w:val="auto"/>
                <w:highlight w:val="none"/>
                <w:lang w:eastAsia="zh-CN"/>
              </w:rPr>
              <w:t>市</w:t>
            </w:r>
            <w:r>
              <w:rPr>
                <w:rFonts w:hint="eastAsia"/>
                <w:color w:val="auto"/>
                <w:highlight w:val="none"/>
              </w:rPr>
              <w:t>交通运输部门提供联动响应。</w:t>
            </w:r>
          </w:p>
          <w:p>
            <w:pPr>
              <w:tabs>
                <w:tab w:val="left" w:pos="780"/>
              </w:tabs>
              <w:snapToGrid w:val="0"/>
              <w:spacing w:line="310" w:lineRule="exact"/>
              <w:jc w:val="left"/>
              <w:rPr>
                <w:color w:val="auto"/>
                <w:highlight w:val="none"/>
              </w:rPr>
            </w:pPr>
            <w:r>
              <w:rPr>
                <w:rFonts w:hint="eastAsia"/>
                <w:color w:val="auto"/>
                <w:highlight w:val="none"/>
              </w:rPr>
              <w:t>●按照省交通运输厅和市委</w:t>
            </w:r>
            <w:r>
              <w:rPr>
                <w:rFonts w:hint="eastAsia"/>
                <w:color w:val="auto"/>
                <w:highlight w:val="none"/>
                <w:lang w:eastAsia="zh-CN"/>
              </w:rPr>
              <w:t>、</w:t>
            </w:r>
            <w:r>
              <w:rPr>
                <w:rFonts w:hint="eastAsia"/>
                <w:color w:val="auto"/>
                <w:highlight w:val="none"/>
              </w:rPr>
              <w:t>市政府的要求需要启动Ⅱ</w:t>
            </w:r>
            <w:r>
              <w:rPr>
                <w:color w:val="auto"/>
                <w:highlight w:val="none"/>
              </w:rPr>
              <w:t>级</w:t>
            </w:r>
            <w:r>
              <w:rPr>
                <w:rFonts w:hint="eastAsia"/>
                <w:color w:val="auto"/>
                <w:highlight w:val="none"/>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6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before="78" w:beforeLines="25" w:after="78" w:afterLines="25" w:line="310" w:lineRule="exact"/>
              <w:ind w:left="-160" w:leftChars="-50" w:right="-160" w:rightChars="-50"/>
              <w:jc w:val="center"/>
              <w:rPr>
                <w:color w:val="auto"/>
                <w:szCs w:val="21"/>
                <w:highlight w:val="none"/>
              </w:rPr>
            </w:pPr>
            <w:r>
              <w:rPr>
                <w:rFonts w:hint="eastAsia" w:ascii="宋体" w:hAnsi="宋体"/>
                <w:color w:val="auto"/>
                <w:szCs w:val="21"/>
                <w:highlight w:val="none"/>
              </w:rPr>
              <w:t>Ⅲ</w:t>
            </w:r>
            <w:r>
              <w:rPr>
                <w:rFonts w:ascii="宋体" w:hAnsi="宋体"/>
                <w:color w:val="auto"/>
                <w:szCs w:val="21"/>
                <w:highlight w:val="none"/>
              </w:rPr>
              <w:t>级</w:t>
            </w:r>
          </w:p>
        </w:tc>
        <w:tc>
          <w:tcPr>
            <w:tcW w:w="6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before="78" w:beforeLines="25" w:after="78" w:afterLines="25" w:line="310" w:lineRule="exact"/>
              <w:ind w:left="-160" w:leftChars="-50" w:right="-160" w:rightChars="-50"/>
              <w:jc w:val="center"/>
              <w:rPr>
                <w:color w:val="auto"/>
                <w:szCs w:val="21"/>
                <w:highlight w:val="none"/>
              </w:rPr>
            </w:pPr>
            <w:r>
              <w:rPr>
                <w:color w:val="auto"/>
                <w:szCs w:val="21"/>
                <w:highlight w:val="none"/>
              </w:rPr>
              <w:t>较</w:t>
            </w:r>
            <w:r>
              <w:rPr>
                <w:rFonts w:hint="eastAsia"/>
                <w:color w:val="auto"/>
                <w:szCs w:val="21"/>
                <w:highlight w:val="none"/>
                <w:lang w:eastAsia="zh-CN"/>
              </w:rPr>
              <w:t>大</w:t>
            </w:r>
          </w:p>
        </w:tc>
        <w:tc>
          <w:tcPr>
            <w:tcW w:w="636"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snapToGrid w:val="0"/>
              <w:spacing w:before="78" w:beforeLines="25" w:after="78" w:afterLines="25" w:line="310" w:lineRule="exact"/>
              <w:ind w:left="-160" w:leftChars="-50" w:right="-160" w:rightChars="-50"/>
              <w:jc w:val="center"/>
              <w:rPr>
                <w:b/>
                <w:bCs/>
                <w:color w:val="auto"/>
                <w:szCs w:val="21"/>
                <w:highlight w:val="none"/>
              </w:rPr>
            </w:pPr>
            <w:r>
              <w:rPr>
                <w:b/>
                <w:bCs/>
                <w:color w:val="auto"/>
                <w:szCs w:val="21"/>
                <w:highlight w:val="none"/>
              </w:rPr>
              <w:t>黄</w:t>
            </w:r>
          </w:p>
          <w:p>
            <w:pPr>
              <w:snapToGrid w:val="0"/>
              <w:spacing w:before="78" w:beforeLines="25" w:after="78" w:afterLines="25" w:line="310" w:lineRule="exact"/>
              <w:ind w:left="-160" w:leftChars="-50" w:right="-160" w:rightChars="-50"/>
              <w:jc w:val="center"/>
              <w:rPr>
                <w:b/>
                <w:bCs/>
                <w:color w:val="auto"/>
                <w:szCs w:val="21"/>
                <w:highlight w:val="none"/>
              </w:rPr>
            </w:pPr>
            <w:r>
              <w:rPr>
                <w:b/>
                <w:bCs/>
                <w:color w:val="auto"/>
                <w:szCs w:val="21"/>
                <w:highlight w:val="none"/>
              </w:rPr>
              <w:t>色</w:t>
            </w:r>
          </w:p>
        </w:tc>
        <w:tc>
          <w:tcPr>
            <w:tcW w:w="6557" w:type="dxa"/>
            <w:tcBorders>
              <w:top w:val="single" w:color="auto" w:sz="4" w:space="0"/>
              <w:left w:val="single" w:color="auto" w:sz="4" w:space="0"/>
              <w:bottom w:val="single" w:color="auto" w:sz="4" w:space="0"/>
              <w:right w:val="single" w:color="auto" w:sz="4" w:space="0"/>
            </w:tcBorders>
            <w:noWrap w:val="0"/>
            <w:vAlign w:val="center"/>
          </w:tcPr>
          <w:p>
            <w:pPr>
              <w:spacing w:line="310" w:lineRule="exact"/>
              <w:rPr>
                <w:rFonts w:hint="eastAsia"/>
                <w:color w:val="auto"/>
                <w:highlight w:val="none"/>
              </w:rPr>
            </w:pPr>
            <w:r>
              <w:rPr>
                <w:rFonts w:hint="eastAsia"/>
                <w:color w:val="auto"/>
                <w:highlight w:val="none"/>
              </w:rPr>
              <w:t>有下列情形之一者，为Ⅲ</w:t>
            </w:r>
            <w:r>
              <w:rPr>
                <w:color w:val="auto"/>
                <w:highlight w:val="none"/>
              </w:rPr>
              <w:t>级</w:t>
            </w:r>
            <w:r>
              <w:rPr>
                <w:rFonts w:hint="eastAsia"/>
                <w:color w:val="auto"/>
                <w:highlight w:val="none"/>
              </w:rPr>
              <w:t>交通运输突发事件：</w:t>
            </w:r>
          </w:p>
          <w:p>
            <w:pPr>
              <w:spacing w:line="310" w:lineRule="exact"/>
              <w:rPr>
                <w:rFonts w:hint="eastAsia"/>
                <w:color w:val="auto"/>
                <w:highlight w:val="none"/>
              </w:rPr>
            </w:pPr>
            <w:r>
              <w:rPr>
                <w:rFonts w:hint="eastAsia"/>
                <w:color w:val="auto"/>
                <w:highlight w:val="none"/>
              </w:rPr>
              <w:t>●发生</w:t>
            </w:r>
            <w:r>
              <w:rPr>
                <w:rFonts w:hint="eastAsia"/>
                <w:color w:val="auto"/>
                <w:highlight w:val="none"/>
                <w:lang w:val="en-US" w:eastAsia="zh-CN"/>
              </w:rPr>
              <w:t>10名（含）以上</w:t>
            </w:r>
            <w:r>
              <w:rPr>
                <w:rFonts w:hint="eastAsia"/>
                <w:color w:val="auto"/>
                <w:highlight w:val="none"/>
              </w:rPr>
              <w:t>交通运输从业人员集体上访、罢工罢运事件，交通运输系统公共卫生突发事件、消防安全事件，车站、港口码头、车船遭受恐怖袭击或极端暴力袭击事件，</w:t>
            </w:r>
            <w:r>
              <w:rPr>
                <w:color w:val="auto"/>
                <w:highlight w:val="none"/>
              </w:rPr>
              <w:t>已经或可能造成</w:t>
            </w:r>
            <w:r>
              <w:rPr>
                <w:rFonts w:hint="eastAsia"/>
                <w:color w:val="auto"/>
                <w:highlight w:val="none"/>
              </w:rPr>
              <w:t>较</w:t>
            </w:r>
            <w:r>
              <w:rPr>
                <w:color w:val="auto"/>
                <w:highlight w:val="none"/>
              </w:rPr>
              <w:t>大人员伤亡、</w:t>
            </w:r>
            <w:r>
              <w:rPr>
                <w:rFonts w:hint="eastAsia"/>
                <w:color w:val="auto"/>
                <w:highlight w:val="none"/>
              </w:rPr>
              <w:t>较</w:t>
            </w:r>
            <w:r>
              <w:rPr>
                <w:color w:val="auto"/>
                <w:highlight w:val="none"/>
              </w:rPr>
              <w:t>大财产损失</w:t>
            </w:r>
            <w:r>
              <w:rPr>
                <w:rFonts w:hint="eastAsia"/>
                <w:color w:val="auto"/>
                <w:highlight w:val="none"/>
              </w:rPr>
              <w:t>、较大影响，</w:t>
            </w:r>
            <w:r>
              <w:rPr>
                <w:color w:val="auto"/>
                <w:highlight w:val="none"/>
              </w:rPr>
              <w:t>需</w:t>
            </w:r>
            <w:r>
              <w:rPr>
                <w:rFonts w:hint="eastAsia"/>
                <w:color w:val="auto"/>
                <w:highlight w:val="none"/>
              </w:rPr>
              <w:t>市交通运输局协调</w:t>
            </w:r>
            <w:r>
              <w:rPr>
                <w:color w:val="auto"/>
                <w:highlight w:val="none"/>
              </w:rPr>
              <w:t>指导应急处置的紧急突发事件。</w:t>
            </w:r>
          </w:p>
          <w:p>
            <w:pPr>
              <w:spacing w:line="310" w:lineRule="exact"/>
              <w:rPr>
                <w:rFonts w:hint="eastAsia"/>
                <w:color w:val="auto"/>
                <w:highlight w:val="none"/>
              </w:rPr>
            </w:pPr>
            <w:r>
              <w:rPr>
                <w:rFonts w:hint="eastAsia"/>
                <w:color w:val="auto"/>
                <w:highlight w:val="none"/>
              </w:rPr>
              <w:t>●</w:t>
            </w:r>
            <w:r>
              <w:rPr>
                <w:color w:val="auto"/>
                <w:highlight w:val="none"/>
              </w:rPr>
              <w:t>其他</w:t>
            </w:r>
            <w:r>
              <w:rPr>
                <w:rFonts w:hint="eastAsia"/>
                <w:color w:val="auto"/>
                <w:highlight w:val="none"/>
              </w:rPr>
              <w:t>市级突发事件Ⅲ</w:t>
            </w:r>
            <w:r>
              <w:rPr>
                <w:color w:val="auto"/>
                <w:highlight w:val="none"/>
              </w:rPr>
              <w:t>级</w:t>
            </w:r>
            <w:r>
              <w:rPr>
                <w:rFonts w:hint="eastAsia"/>
                <w:color w:val="auto"/>
                <w:highlight w:val="none"/>
              </w:rPr>
              <w:t>应急响应，需要</w:t>
            </w:r>
            <w:r>
              <w:rPr>
                <w:rFonts w:hint="eastAsia"/>
                <w:color w:val="auto"/>
                <w:highlight w:val="none"/>
                <w:lang w:eastAsia="zh-CN"/>
              </w:rPr>
              <w:t>市</w:t>
            </w:r>
            <w:r>
              <w:rPr>
                <w:rFonts w:hint="eastAsia"/>
                <w:color w:val="auto"/>
                <w:highlight w:val="none"/>
              </w:rPr>
              <w:t>交通运输部门提供联动响应。</w:t>
            </w:r>
          </w:p>
          <w:p>
            <w:pPr>
              <w:tabs>
                <w:tab w:val="left" w:pos="780"/>
              </w:tabs>
              <w:snapToGrid w:val="0"/>
              <w:spacing w:line="310" w:lineRule="exact"/>
              <w:jc w:val="left"/>
              <w:rPr>
                <w:color w:val="auto"/>
                <w:highlight w:val="none"/>
              </w:rPr>
            </w:pPr>
            <w:r>
              <w:rPr>
                <w:rFonts w:hint="eastAsia"/>
                <w:color w:val="auto"/>
                <w:highlight w:val="none"/>
              </w:rPr>
              <w:t>●按照省交通运输厅和市委</w:t>
            </w:r>
            <w:r>
              <w:rPr>
                <w:rFonts w:hint="eastAsia"/>
                <w:color w:val="auto"/>
                <w:highlight w:val="none"/>
                <w:lang w:eastAsia="zh-CN"/>
              </w:rPr>
              <w:t>、</w:t>
            </w:r>
            <w:r>
              <w:rPr>
                <w:rFonts w:hint="eastAsia"/>
                <w:color w:val="auto"/>
                <w:highlight w:val="none"/>
              </w:rPr>
              <w:t>市政府的要求需要启动Ⅲ</w:t>
            </w:r>
            <w:r>
              <w:rPr>
                <w:color w:val="auto"/>
                <w:highlight w:val="none"/>
              </w:rPr>
              <w:t>级</w:t>
            </w:r>
            <w:r>
              <w:rPr>
                <w:rFonts w:hint="eastAsia"/>
                <w:color w:val="auto"/>
                <w:highlight w:val="none"/>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before="78" w:beforeLines="25" w:after="78" w:afterLines="25" w:line="310" w:lineRule="exact"/>
              <w:ind w:left="-160" w:leftChars="-50" w:right="-160" w:rightChars="-50"/>
              <w:jc w:val="center"/>
              <w:rPr>
                <w:color w:val="auto"/>
                <w:szCs w:val="21"/>
                <w:highlight w:val="none"/>
              </w:rPr>
            </w:pPr>
            <w:r>
              <w:rPr>
                <w:rFonts w:hint="eastAsia" w:ascii="宋体" w:hAnsi="宋体"/>
                <w:color w:val="auto"/>
                <w:szCs w:val="21"/>
                <w:highlight w:val="none"/>
              </w:rPr>
              <w:t>Ⅳ</w:t>
            </w:r>
            <w:r>
              <w:rPr>
                <w:color w:val="auto"/>
                <w:szCs w:val="21"/>
                <w:highlight w:val="none"/>
              </w:rPr>
              <w:t>级</w:t>
            </w:r>
          </w:p>
        </w:tc>
        <w:tc>
          <w:tcPr>
            <w:tcW w:w="6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before="78" w:beforeLines="25" w:after="78" w:afterLines="25" w:line="310" w:lineRule="exact"/>
              <w:ind w:left="-160" w:leftChars="-50" w:right="-160" w:rightChars="-50"/>
              <w:jc w:val="center"/>
              <w:rPr>
                <w:color w:val="auto"/>
                <w:szCs w:val="21"/>
                <w:highlight w:val="none"/>
              </w:rPr>
            </w:pPr>
            <w:r>
              <w:rPr>
                <w:color w:val="auto"/>
                <w:szCs w:val="21"/>
                <w:highlight w:val="none"/>
              </w:rPr>
              <w:t>一般</w:t>
            </w:r>
          </w:p>
        </w:tc>
        <w:tc>
          <w:tcPr>
            <w:tcW w:w="636" w:type="dxa"/>
            <w:tcBorders>
              <w:top w:val="single" w:color="auto" w:sz="4" w:space="0"/>
              <w:left w:val="single" w:color="auto" w:sz="4" w:space="0"/>
              <w:bottom w:val="single" w:color="auto" w:sz="4" w:space="0"/>
              <w:right w:val="single" w:color="auto" w:sz="4" w:space="0"/>
            </w:tcBorders>
            <w:shd w:val="clear" w:color="auto" w:fill="3366FF"/>
            <w:noWrap w:val="0"/>
            <w:vAlign w:val="center"/>
          </w:tcPr>
          <w:p>
            <w:pPr>
              <w:snapToGrid w:val="0"/>
              <w:spacing w:before="78" w:beforeLines="25" w:after="78" w:afterLines="25" w:line="310" w:lineRule="exact"/>
              <w:ind w:left="-160" w:leftChars="-50" w:right="-160" w:rightChars="-50"/>
              <w:jc w:val="center"/>
              <w:rPr>
                <w:b/>
                <w:bCs/>
                <w:color w:val="auto"/>
                <w:szCs w:val="21"/>
                <w:highlight w:val="none"/>
              </w:rPr>
            </w:pPr>
            <w:r>
              <w:rPr>
                <w:b/>
                <w:bCs/>
                <w:color w:val="auto"/>
                <w:szCs w:val="21"/>
                <w:highlight w:val="none"/>
              </w:rPr>
              <w:t>蓝</w:t>
            </w:r>
          </w:p>
          <w:p>
            <w:pPr>
              <w:snapToGrid w:val="0"/>
              <w:spacing w:before="78" w:beforeLines="25" w:after="78" w:afterLines="25" w:line="310" w:lineRule="exact"/>
              <w:ind w:left="-160" w:leftChars="-50" w:right="-160" w:rightChars="-50"/>
              <w:jc w:val="center"/>
              <w:rPr>
                <w:b/>
                <w:bCs/>
                <w:color w:val="auto"/>
                <w:szCs w:val="21"/>
                <w:highlight w:val="none"/>
              </w:rPr>
            </w:pPr>
            <w:r>
              <w:rPr>
                <w:b/>
                <w:bCs/>
                <w:color w:val="auto"/>
                <w:szCs w:val="21"/>
                <w:highlight w:val="none"/>
              </w:rPr>
              <w:t>色</w:t>
            </w:r>
          </w:p>
        </w:tc>
        <w:tc>
          <w:tcPr>
            <w:tcW w:w="6557" w:type="dxa"/>
            <w:tcBorders>
              <w:top w:val="single" w:color="auto" w:sz="4" w:space="0"/>
              <w:left w:val="single" w:color="auto" w:sz="4" w:space="0"/>
              <w:bottom w:val="single" w:color="auto" w:sz="4" w:space="0"/>
              <w:right w:val="single" w:color="auto" w:sz="4" w:space="0"/>
            </w:tcBorders>
            <w:noWrap w:val="0"/>
            <w:vAlign w:val="center"/>
          </w:tcPr>
          <w:p>
            <w:pPr>
              <w:spacing w:line="310" w:lineRule="exact"/>
              <w:rPr>
                <w:rFonts w:hint="eastAsia" w:ascii="宋体" w:hAnsi="宋体"/>
                <w:color w:val="auto"/>
                <w:sz w:val="15"/>
                <w:szCs w:val="15"/>
                <w:highlight w:val="none"/>
              </w:rPr>
            </w:pPr>
            <w:r>
              <w:rPr>
                <w:rFonts w:hint="eastAsia" w:ascii="宋体" w:hAnsi="宋体"/>
                <w:color w:val="auto"/>
                <w:szCs w:val="21"/>
                <w:highlight w:val="none"/>
              </w:rPr>
              <w:t>有下列情形之一者，为Ⅳ</w:t>
            </w:r>
            <w:r>
              <w:rPr>
                <w:rFonts w:ascii="宋体" w:hAnsi="宋体"/>
                <w:color w:val="auto"/>
                <w:szCs w:val="21"/>
                <w:highlight w:val="none"/>
              </w:rPr>
              <w:t>级</w:t>
            </w:r>
            <w:r>
              <w:rPr>
                <w:rFonts w:hint="eastAsia" w:ascii="宋体" w:hAnsi="宋体"/>
                <w:color w:val="auto"/>
                <w:szCs w:val="21"/>
                <w:highlight w:val="none"/>
              </w:rPr>
              <w:t>交通运输突发事件：</w:t>
            </w:r>
          </w:p>
          <w:p>
            <w:pPr>
              <w:spacing w:line="310" w:lineRule="exact"/>
              <w:rPr>
                <w:rFonts w:hint="eastAsia" w:ascii="宋体" w:hAnsi="宋体"/>
                <w:color w:val="auto"/>
                <w:szCs w:val="21"/>
                <w:highlight w:val="none"/>
              </w:rPr>
            </w:pPr>
            <w:r>
              <w:rPr>
                <w:rFonts w:hint="eastAsia"/>
                <w:color w:val="auto"/>
                <w:highlight w:val="none"/>
              </w:rPr>
              <w:t>●</w:t>
            </w:r>
            <w:r>
              <w:rPr>
                <w:rFonts w:hint="eastAsia"/>
                <w:color w:val="auto"/>
                <w:szCs w:val="21"/>
                <w:highlight w:val="none"/>
              </w:rPr>
              <w:t>发生</w:t>
            </w:r>
            <w:r>
              <w:rPr>
                <w:rFonts w:hint="eastAsia"/>
                <w:color w:val="auto"/>
                <w:szCs w:val="21"/>
                <w:highlight w:val="none"/>
                <w:lang w:eastAsia="zh-CN"/>
              </w:rPr>
              <w:t>个别</w:t>
            </w:r>
            <w:r>
              <w:rPr>
                <w:rFonts w:hint="eastAsia"/>
                <w:color w:val="auto"/>
                <w:szCs w:val="21"/>
                <w:highlight w:val="none"/>
              </w:rPr>
              <w:t>交通运输从业人员集体上访、罢工罢运事件，交通运输系统公共卫生突发事件、消防安全事件，车站、港口码头、车船遭受恐怖袭击或极端暴力袭击事件</w:t>
            </w:r>
            <w:r>
              <w:rPr>
                <w:rFonts w:hint="eastAsia" w:ascii="宋体" w:hAnsi="宋体"/>
                <w:color w:val="auto"/>
                <w:szCs w:val="21"/>
                <w:highlight w:val="none"/>
              </w:rPr>
              <w:t>，</w:t>
            </w:r>
            <w:r>
              <w:rPr>
                <w:color w:val="auto"/>
                <w:szCs w:val="21"/>
                <w:highlight w:val="none"/>
              </w:rPr>
              <w:t>已经或可能造成</w:t>
            </w:r>
            <w:r>
              <w:rPr>
                <w:rFonts w:hint="eastAsia"/>
                <w:color w:val="auto"/>
                <w:szCs w:val="21"/>
                <w:highlight w:val="none"/>
              </w:rPr>
              <w:t>一般</w:t>
            </w:r>
            <w:r>
              <w:rPr>
                <w:color w:val="auto"/>
                <w:szCs w:val="21"/>
                <w:highlight w:val="none"/>
              </w:rPr>
              <w:t>人员伤亡</w:t>
            </w:r>
            <w:r>
              <w:rPr>
                <w:rFonts w:hint="eastAsia"/>
                <w:color w:val="auto"/>
                <w:szCs w:val="21"/>
                <w:highlight w:val="none"/>
              </w:rPr>
              <w:t>、较大</w:t>
            </w:r>
            <w:r>
              <w:rPr>
                <w:color w:val="auto"/>
                <w:szCs w:val="21"/>
                <w:highlight w:val="none"/>
              </w:rPr>
              <w:t>财产损失</w:t>
            </w:r>
            <w:r>
              <w:rPr>
                <w:rFonts w:hint="eastAsia"/>
                <w:color w:val="auto"/>
                <w:szCs w:val="21"/>
                <w:highlight w:val="none"/>
              </w:rPr>
              <w:t>、并造成不良社会影响，</w:t>
            </w:r>
            <w:r>
              <w:rPr>
                <w:color w:val="auto"/>
                <w:szCs w:val="21"/>
                <w:highlight w:val="none"/>
              </w:rPr>
              <w:t>需</w:t>
            </w:r>
            <w:r>
              <w:rPr>
                <w:rFonts w:hint="eastAsia"/>
                <w:color w:val="auto"/>
                <w:szCs w:val="21"/>
                <w:highlight w:val="none"/>
              </w:rPr>
              <w:t>市交通运输局协调</w:t>
            </w:r>
            <w:r>
              <w:rPr>
                <w:color w:val="auto"/>
                <w:szCs w:val="21"/>
                <w:highlight w:val="none"/>
              </w:rPr>
              <w:t>指导应急处置的紧急突发事件。</w:t>
            </w:r>
          </w:p>
          <w:p>
            <w:pPr>
              <w:spacing w:line="310" w:lineRule="exact"/>
              <w:rPr>
                <w:rFonts w:hint="eastAsia" w:ascii="宋体" w:hAnsi="宋体"/>
                <w:color w:val="auto"/>
                <w:szCs w:val="21"/>
                <w:highlight w:val="none"/>
              </w:rPr>
            </w:pPr>
            <w:r>
              <w:rPr>
                <w:rFonts w:hint="eastAsia"/>
                <w:color w:val="auto"/>
                <w:highlight w:val="none"/>
              </w:rPr>
              <w:t>●</w:t>
            </w:r>
            <w:r>
              <w:rPr>
                <w:rFonts w:ascii="宋体" w:hAnsi="宋体"/>
                <w:color w:val="auto"/>
                <w:szCs w:val="21"/>
                <w:highlight w:val="none"/>
              </w:rPr>
              <w:t>其他</w:t>
            </w:r>
            <w:r>
              <w:rPr>
                <w:rFonts w:hint="eastAsia" w:ascii="宋体" w:hAnsi="宋体"/>
                <w:color w:val="auto"/>
                <w:szCs w:val="21"/>
                <w:highlight w:val="none"/>
              </w:rPr>
              <w:t>市级突发事件Ⅳ</w:t>
            </w:r>
            <w:r>
              <w:rPr>
                <w:rFonts w:ascii="宋体" w:hAnsi="宋体"/>
                <w:color w:val="auto"/>
                <w:szCs w:val="21"/>
                <w:highlight w:val="none"/>
              </w:rPr>
              <w:t>级</w:t>
            </w:r>
            <w:r>
              <w:rPr>
                <w:rFonts w:hint="eastAsia" w:ascii="宋体" w:hAnsi="宋体"/>
                <w:color w:val="auto"/>
                <w:szCs w:val="21"/>
                <w:highlight w:val="none"/>
              </w:rPr>
              <w:t>应急响应，需要</w:t>
            </w:r>
            <w:r>
              <w:rPr>
                <w:rFonts w:hint="eastAsia" w:ascii="宋体" w:hAnsi="宋体"/>
                <w:color w:val="auto"/>
                <w:szCs w:val="21"/>
                <w:highlight w:val="none"/>
                <w:lang w:eastAsia="zh-CN"/>
              </w:rPr>
              <w:t>市</w:t>
            </w:r>
            <w:r>
              <w:rPr>
                <w:rFonts w:hint="eastAsia" w:ascii="宋体" w:hAnsi="宋体"/>
                <w:color w:val="auto"/>
                <w:szCs w:val="21"/>
                <w:highlight w:val="none"/>
              </w:rPr>
              <w:t>交通运输部门提供联动响应。</w:t>
            </w:r>
          </w:p>
          <w:p>
            <w:pPr>
              <w:tabs>
                <w:tab w:val="left" w:pos="625"/>
                <w:tab w:val="left" w:pos="780"/>
              </w:tabs>
              <w:snapToGrid w:val="0"/>
              <w:spacing w:line="310" w:lineRule="exact"/>
              <w:jc w:val="left"/>
              <w:rPr>
                <w:rFonts w:ascii="宋体" w:hAnsi="宋体"/>
                <w:color w:val="auto"/>
                <w:szCs w:val="21"/>
                <w:highlight w:val="none"/>
              </w:rPr>
            </w:pPr>
            <w:r>
              <w:rPr>
                <w:rFonts w:hint="eastAsia"/>
                <w:color w:val="auto"/>
                <w:highlight w:val="none"/>
              </w:rPr>
              <w:t>●</w:t>
            </w:r>
            <w:r>
              <w:rPr>
                <w:rFonts w:hint="eastAsia" w:ascii="宋体" w:hAnsi="宋体"/>
                <w:color w:val="auto"/>
                <w:szCs w:val="21"/>
                <w:highlight w:val="none"/>
              </w:rPr>
              <w:t>按照省交通运输厅和市委</w:t>
            </w:r>
            <w:r>
              <w:rPr>
                <w:rFonts w:hint="eastAsia" w:ascii="宋体" w:hAnsi="宋体"/>
                <w:color w:val="auto"/>
                <w:szCs w:val="21"/>
                <w:highlight w:val="none"/>
                <w:lang w:eastAsia="zh-CN"/>
              </w:rPr>
              <w:t>、</w:t>
            </w:r>
            <w:r>
              <w:rPr>
                <w:rFonts w:hint="eastAsia" w:ascii="宋体" w:hAnsi="宋体"/>
                <w:color w:val="auto"/>
                <w:szCs w:val="21"/>
                <w:highlight w:val="none"/>
              </w:rPr>
              <w:t>市政府的要求需要启动Ⅳ</w:t>
            </w:r>
            <w:r>
              <w:rPr>
                <w:rFonts w:ascii="宋体" w:hAnsi="宋体"/>
                <w:color w:val="auto"/>
                <w:szCs w:val="21"/>
                <w:highlight w:val="none"/>
              </w:rPr>
              <w:t>级</w:t>
            </w:r>
            <w:r>
              <w:rPr>
                <w:rFonts w:hint="eastAsia" w:ascii="宋体" w:hAnsi="宋体"/>
                <w:color w:val="auto"/>
                <w:szCs w:val="21"/>
                <w:highlight w:val="none"/>
              </w:rPr>
              <w:t>应急响应。</w:t>
            </w:r>
          </w:p>
        </w:tc>
      </w:tr>
    </w:tbl>
    <w:p>
      <w:pPr>
        <w:pStyle w:val="4"/>
        <w:kinsoku w:val="0"/>
        <w:overflowPunct w:val="0"/>
        <w:spacing w:before="85" w:line="560" w:lineRule="exact"/>
        <w:ind w:left="0" w:leftChars="0" w:firstLine="640" w:firstLineChars="200"/>
        <w:outlineLvl w:val="9"/>
        <w:rPr>
          <w:rFonts w:hint="eastAsia" w:ascii="仿宋_GB2312" w:hAnsi="仿宋_GB2312" w:eastAsia="仿宋_GB2312" w:cs="仿宋_GB2312"/>
          <w:b w:val="0"/>
          <w:color w:val="auto"/>
          <w:kern w:val="2"/>
          <w:sz w:val="32"/>
          <w:szCs w:val="32"/>
          <w:highlight w:val="none"/>
          <w:lang w:val="zh-CN" w:eastAsia="zh-CN" w:bidi="zh-CN"/>
        </w:rPr>
      </w:pPr>
      <w:bookmarkStart w:id="234" w:name="_Toc283810580"/>
      <w:bookmarkStart w:id="235" w:name="_Toc229217398"/>
      <w:bookmarkStart w:id="236" w:name="_Toc283810573"/>
      <w:r>
        <w:rPr>
          <w:rFonts w:hint="eastAsia" w:ascii="仿宋_GB2312" w:hAnsi="仿宋_GB2312" w:eastAsia="仿宋_GB2312" w:cs="仿宋_GB2312"/>
          <w:b w:val="0"/>
          <w:color w:val="auto"/>
          <w:kern w:val="2"/>
          <w:sz w:val="32"/>
          <w:szCs w:val="32"/>
          <w:highlight w:val="none"/>
          <w:lang w:val="en-US" w:eastAsia="zh-CN" w:bidi="zh-CN"/>
        </w:rPr>
        <w:t>[</w:t>
      </w:r>
      <w:r>
        <w:rPr>
          <w:rFonts w:hint="eastAsia" w:ascii="仿宋_GB2312" w:hAnsi="仿宋_GB2312" w:eastAsia="仿宋_GB2312" w:cs="仿宋_GB2312"/>
          <w:color w:val="auto"/>
          <w:sz w:val="32"/>
          <w:highlight w:val="none"/>
        </w:rPr>
        <w:t>注：依据《五指山市防汛防风防旱应急预案</w:t>
      </w:r>
      <w:r>
        <w:rPr>
          <w:rFonts w:hint="eastAsia" w:ascii="仿宋_GB2312" w:hAnsi="仿宋_GB2312" w:eastAsia="仿宋_GB2312" w:cs="仿宋_GB2312"/>
          <w:b w:val="0"/>
          <w:color w:val="auto"/>
          <w:kern w:val="2"/>
          <w:sz w:val="32"/>
          <w:szCs w:val="32"/>
          <w:highlight w:val="none"/>
          <w:lang w:val="zh-CN" w:eastAsia="zh-CN" w:bidi="zh-CN"/>
        </w:rPr>
        <w:t>》《海南省交通运输突发事件综合应急预案》制表</w:t>
      </w:r>
      <w:r>
        <w:rPr>
          <w:rFonts w:hint="eastAsia" w:ascii="仿宋_GB2312" w:hAnsi="仿宋_GB2312" w:eastAsia="仿宋_GB2312" w:cs="仿宋_GB2312"/>
          <w:b w:val="0"/>
          <w:color w:val="auto"/>
          <w:kern w:val="2"/>
          <w:sz w:val="32"/>
          <w:szCs w:val="32"/>
          <w:highlight w:val="none"/>
          <w:lang w:val="en-US" w:eastAsia="zh-CN" w:bidi="zh-CN"/>
        </w:rPr>
        <w:t>]</w:t>
      </w:r>
      <w:r>
        <w:rPr>
          <w:rFonts w:hint="eastAsia" w:ascii="仿宋_GB2312" w:hAnsi="仿宋_GB2312" w:eastAsia="仿宋_GB2312" w:cs="仿宋_GB2312"/>
          <w:b w:val="0"/>
          <w:color w:val="auto"/>
          <w:kern w:val="2"/>
          <w:sz w:val="32"/>
          <w:szCs w:val="32"/>
          <w:highlight w:val="none"/>
          <w:lang w:val="zh-CN" w:eastAsia="zh-CN" w:bidi="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5.2.1Ⅰ级</w:t>
      </w:r>
      <w:r>
        <w:rPr>
          <w:rFonts w:hint="eastAsia" w:ascii="仿宋_GB2312" w:hAnsi="仿宋_GB2312" w:eastAsia="仿宋_GB2312" w:cs="仿宋_GB2312"/>
          <w:b w:val="0"/>
          <w:bCs w:val="0"/>
          <w:color w:val="auto"/>
          <w:kern w:val="0"/>
          <w:sz w:val="32"/>
          <w:szCs w:val="32"/>
          <w:highlight w:val="none"/>
          <w:lang w:val="en-US" w:eastAsia="zh-CN" w:bidi="ar-SA"/>
        </w:rPr>
        <w:t>、</w:t>
      </w:r>
      <w:r>
        <w:rPr>
          <w:rFonts w:hint="eastAsia" w:ascii="仿宋_GB2312" w:hAnsi="仿宋_GB2312" w:eastAsia="仿宋_GB2312" w:cs="仿宋_GB2312"/>
          <w:b/>
          <w:bCs/>
          <w:color w:val="auto"/>
          <w:kern w:val="0"/>
          <w:sz w:val="32"/>
          <w:szCs w:val="32"/>
          <w:highlight w:val="none"/>
          <w:lang w:val="zh-CN" w:eastAsia="zh-CN" w:bidi="ar-SA"/>
        </w:rPr>
        <w:t>Ⅱ级</w:t>
      </w:r>
      <w:r>
        <w:rPr>
          <w:rFonts w:hint="eastAsia" w:ascii="仿宋_GB2312" w:hAnsi="仿宋_GB2312" w:eastAsia="仿宋_GB2312" w:cs="仿宋_GB2312"/>
          <w:b/>
          <w:bCs/>
          <w:color w:val="auto"/>
          <w:kern w:val="0"/>
          <w:sz w:val="32"/>
          <w:szCs w:val="32"/>
          <w:highlight w:val="none"/>
          <w:lang w:val="en-US" w:eastAsia="zh-CN" w:bidi="ar-SA"/>
        </w:rPr>
        <w:t>响应</w:t>
      </w:r>
      <w:bookmarkEnd w:id="234"/>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当发生符合本预案Ⅰ级、Ⅱ级响应条件时，市交通运输局按程序立即启动实施市本级部门Ⅰ级或Ⅱ级应急响应，并上报市政府、省交通运输厅。在市政府的统一领导下</w:t>
      </w:r>
      <w:bookmarkStart w:id="237" w:name="_Toc283810582"/>
      <w:r>
        <w:rPr>
          <w:rFonts w:hint="eastAsia" w:ascii="仿宋_GB2312" w:hAnsi="仿宋_GB2312" w:eastAsia="仿宋_GB2312" w:cs="仿宋_GB2312"/>
          <w:b w:val="0"/>
          <w:bCs w:val="0"/>
          <w:color w:val="auto"/>
          <w:kern w:val="0"/>
          <w:sz w:val="32"/>
          <w:szCs w:val="32"/>
          <w:highlight w:val="none"/>
          <w:lang w:val="zh-CN" w:eastAsia="zh-CN" w:bidi="ar-SA"/>
        </w:rPr>
        <w:t>，组织、部署应急处置工作。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zh-CN" w:eastAsia="zh-CN" w:bidi="ar-SA"/>
        </w:rPr>
        <w:t>（一）响应行动</w:t>
      </w:r>
      <w:bookmarkEnd w:id="237"/>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（1）对于先期处置未能有效控制事态而可能上升为Ⅰ级、Ⅱ级，或市交通运输局已启动某一单项Ⅰ级、Ⅱ级应急预案，因事态复杂，需市交通运输局组织协调系统多部门提供交通运输综合应急保障时，局</w:t>
      </w:r>
      <w:r>
        <w:rPr>
          <w:rFonts w:hint="eastAsia" w:ascii="仿宋_GB2312" w:hAnsi="仿宋_GB2312" w:eastAsia="仿宋_GB2312" w:cs="仿宋_GB2312"/>
          <w:b w:val="0"/>
          <w:bCs w:val="0"/>
          <w:color w:val="auto"/>
          <w:kern w:val="0"/>
          <w:sz w:val="32"/>
          <w:szCs w:val="32"/>
          <w:highlight w:val="none"/>
          <w:lang w:val="en-US" w:eastAsia="zh-CN" w:bidi="ar-SA"/>
        </w:rPr>
        <w:t>属</w:t>
      </w:r>
      <w:r>
        <w:rPr>
          <w:rFonts w:hint="eastAsia" w:ascii="仿宋_GB2312" w:hAnsi="仿宋_GB2312" w:eastAsia="仿宋_GB2312" w:cs="仿宋_GB2312"/>
          <w:b w:val="0"/>
          <w:bCs w:val="0"/>
          <w:color w:val="auto"/>
          <w:kern w:val="0"/>
          <w:sz w:val="32"/>
          <w:szCs w:val="32"/>
          <w:highlight w:val="none"/>
          <w:lang w:val="zh-CN" w:eastAsia="zh-CN" w:bidi="ar-SA"/>
        </w:rPr>
        <w:t>有关办公室商市交通运输局应急办提出应急响应建议，报</w:t>
      </w:r>
      <w:r>
        <w:rPr>
          <w:rFonts w:hint="eastAsia" w:ascii="仿宋_GB2312" w:hAnsi="仿宋_GB2312" w:eastAsia="仿宋_GB2312" w:cs="仿宋_GB2312"/>
          <w:b w:val="0"/>
          <w:bCs w:val="0"/>
          <w:color w:val="auto"/>
          <w:kern w:val="0"/>
          <w:sz w:val="32"/>
          <w:szCs w:val="32"/>
          <w:highlight w:val="none"/>
          <w:lang w:val="en-US" w:eastAsia="zh-CN" w:bidi="ar-SA"/>
        </w:rPr>
        <w:t>副组长、组长</w:t>
      </w:r>
      <w:r>
        <w:rPr>
          <w:rFonts w:hint="eastAsia" w:ascii="仿宋_GB2312" w:hAnsi="仿宋_GB2312" w:eastAsia="仿宋_GB2312" w:cs="仿宋_GB2312"/>
          <w:b w:val="0"/>
          <w:bCs w:val="0"/>
          <w:color w:val="auto"/>
          <w:kern w:val="0"/>
          <w:sz w:val="32"/>
          <w:szCs w:val="32"/>
          <w:highlight w:val="none"/>
          <w:lang w:val="zh-CN" w:eastAsia="zh-CN" w:bidi="ar-SA"/>
        </w:rPr>
        <w:t>。</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2</w:t>
      </w:r>
      <w:r>
        <w:rPr>
          <w:rFonts w:hint="eastAsia" w:ascii="仿宋_GB2312" w:hAnsi="仿宋_GB2312" w:eastAsia="仿宋_GB2312" w:cs="仿宋_GB2312"/>
          <w:b w:val="0"/>
          <w:bCs w:val="0"/>
          <w:color w:val="auto"/>
          <w:kern w:val="0"/>
          <w:sz w:val="32"/>
          <w:szCs w:val="32"/>
          <w:highlight w:val="none"/>
          <w:lang w:val="zh-CN" w:eastAsia="zh-CN" w:bidi="ar-SA"/>
        </w:rPr>
        <w:t>）当启动实施Ⅰ级、Ⅱ级响应，由市交通运输应急领导机构组长主持召开紧急会议，市交通运输应急领导机构成员参加，贯彻落实上级有关指示批示要求，对突发事件市本级部门处置工作做出部署。由组长宣发布本级部门应急响应指令，并迅速向市人民政府、省交通运输厅报告。</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3</w:t>
      </w:r>
      <w:r>
        <w:rPr>
          <w:rFonts w:hint="eastAsia" w:ascii="仿宋_GB2312" w:hAnsi="仿宋_GB2312" w:eastAsia="仿宋_GB2312" w:cs="仿宋_GB2312"/>
          <w:b w:val="0"/>
          <w:bCs w:val="0"/>
          <w:color w:val="auto"/>
          <w:kern w:val="0"/>
          <w:sz w:val="32"/>
          <w:szCs w:val="32"/>
          <w:highlight w:val="none"/>
          <w:lang w:val="zh-CN" w:eastAsia="zh-CN" w:bidi="ar-SA"/>
        </w:rPr>
        <w:t>）各应急工作组进入应急待命状态。综合协调组负责向相关下级交通运输应急管理机构发布指令。</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4</w:t>
      </w:r>
      <w:r>
        <w:rPr>
          <w:rFonts w:hint="eastAsia" w:ascii="仿宋_GB2312" w:hAnsi="仿宋_GB2312" w:eastAsia="仿宋_GB2312" w:cs="仿宋_GB2312"/>
          <w:b w:val="0"/>
          <w:bCs w:val="0"/>
          <w:color w:val="auto"/>
          <w:kern w:val="0"/>
          <w:sz w:val="32"/>
          <w:szCs w:val="32"/>
          <w:highlight w:val="none"/>
          <w:lang w:val="zh-CN" w:eastAsia="zh-CN" w:bidi="ar-SA"/>
        </w:rPr>
        <w:t>）应急响应指令发布后，市交通运输局领导坐镇指挥，各应急工作组相关人员根据本预案</w:t>
      </w:r>
      <w:r>
        <w:rPr>
          <w:rFonts w:hint="eastAsia" w:ascii="仿宋_GB2312" w:hAnsi="仿宋_GB2312" w:eastAsia="仿宋_GB2312" w:cs="仿宋_GB2312"/>
          <w:b w:val="0"/>
          <w:bCs w:val="0"/>
          <w:color w:val="auto"/>
          <w:kern w:val="0"/>
          <w:sz w:val="32"/>
          <w:szCs w:val="32"/>
          <w:highlight w:val="none"/>
          <w:lang w:val="en-US" w:eastAsia="zh-CN" w:bidi="ar-SA"/>
        </w:rPr>
        <w:t>3.2</w:t>
      </w:r>
      <w:r>
        <w:rPr>
          <w:rFonts w:hint="eastAsia" w:ascii="仿宋_GB2312" w:hAnsi="仿宋_GB2312" w:eastAsia="仿宋_GB2312" w:cs="仿宋_GB2312"/>
          <w:b w:val="0"/>
          <w:bCs w:val="0"/>
          <w:color w:val="auto"/>
          <w:kern w:val="0"/>
          <w:sz w:val="32"/>
          <w:szCs w:val="32"/>
          <w:highlight w:val="none"/>
          <w:lang w:val="zh-CN" w:eastAsia="zh-CN" w:bidi="ar-SA"/>
        </w:rPr>
        <w:t>款和</w:t>
      </w:r>
      <w:r>
        <w:rPr>
          <w:rFonts w:hint="eastAsia" w:ascii="仿宋_GB2312" w:hAnsi="仿宋_GB2312" w:eastAsia="仿宋_GB2312" w:cs="仿宋_GB2312"/>
          <w:b w:val="0"/>
          <w:bCs w:val="0"/>
          <w:color w:val="auto"/>
          <w:kern w:val="0"/>
          <w:sz w:val="32"/>
          <w:szCs w:val="32"/>
          <w:highlight w:val="none"/>
          <w:lang w:val="en-US" w:eastAsia="zh-CN" w:bidi="ar-SA"/>
        </w:rPr>
        <w:t>5</w:t>
      </w: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3</w:t>
      </w:r>
      <w:r>
        <w:rPr>
          <w:rFonts w:hint="eastAsia" w:ascii="仿宋_GB2312" w:hAnsi="仿宋_GB2312" w:eastAsia="仿宋_GB2312" w:cs="仿宋_GB2312"/>
          <w:b w:val="0"/>
          <w:bCs w:val="0"/>
          <w:color w:val="auto"/>
          <w:kern w:val="0"/>
          <w:sz w:val="32"/>
          <w:szCs w:val="32"/>
          <w:highlight w:val="none"/>
          <w:lang w:val="zh-CN" w:eastAsia="zh-CN" w:bidi="ar-SA"/>
        </w:rPr>
        <w:t>规定和市交通运输应急领导机构指令开展应急工作，并保证24小时联络畅通。局属负有行业管理职能有关单位派员到市交通运输局参与值班。</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5</w:t>
      </w:r>
      <w:r>
        <w:rPr>
          <w:rFonts w:hint="eastAsia" w:ascii="仿宋_GB2312" w:hAnsi="仿宋_GB2312" w:eastAsia="仿宋_GB2312" w:cs="仿宋_GB2312"/>
          <w:b w:val="0"/>
          <w:bCs w:val="0"/>
          <w:color w:val="auto"/>
          <w:kern w:val="0"/>
          <w:sz w:val="32"/>
          <w:szCs w:val="32"/>
          <w:highlight w:val="none"/>
          <w:lang w:val="zh-CN" w:eastAsia="zh-CN" w:bidi="ar-SA"/>
        </w:rPr>
        <w:t>）根据情况需要，由市交通运输应急领导机构组长决定应急响应是否需面向社会发布。由新闻宣传小组联系新闻媒体，面向社会公布信息。</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6</w:t>
      </w:r>
      <w:r>
        <w:rPr>
          <w:rFonts w:hint="eastAsia" w:ascii="仿宋_GB2312" w:hAnsi="仿宋_GB2312" w:eastAsia="仿宋_GB2312" w:cs="仿宋_GB2312"/>
          <w:b w:val="0"/>
          <w:bCs w:val="0"/>
          <w:color w:val="auto"/>
          <w:kern w:val="0"/>
          <w:sz w:val="32"/>
          <w:szCs w:val="32"/>
          <w:highlight w:val="none"/>
          <w:lang w:val="zh-CN" w:eastAsia="zh-CN" w:bidi="ar-SA"/>
        </w:rPr>
        <w:t>）市交通运输应急领导机构每日至少召开一次调度协调会协调（指导）应急处置工作。相关单位或工作组根据市交通运输应急领导机构的指令立即启动相关应急响应，做好有关工作，每2小时向综合协调组上报一次处置情况信息，重大信息第一时间报告。</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7</w:t>
      </w:r>
      <w:r>
        <w:rPr>
          <w:rFonts w:hint="eastAsia" w:ascii="仿宋_GB2312" w:hAnsi="仿宋_GB2312" w:eastAsia="仿宋_GB2312" w:cs="仿宋_GB2312"/>
          <w:b w:val="0"/>
          <w:bCs w:val="0"/>
          <w:color w:val="auto"/>
          <w:kern w:val="0"/>
          <w:sz w:val="32"/>
          <w:szCs w:val="32"/>
          <w:highlight w:val="none"/>
          <w:lang w:val="zh-CN" w:eastAsia="zh-CN" w:bidi="ar-SA"/>
        </w:rPr>
        <w:t>）综合协调组及时掌握事态进展情况，迅速传达应急响应指令。新闻宣传小组根据需要，及时向社会发布应急处置信息，报道应急处置一线的进展和先进事迹、先进典型。</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8</w:t>
      </w:r>
      <w:r>
        <w:rPr>
          <w:rFonts w:hint="eastAsia" w:ascii="仿宋_GB2312" w:hAnsi="仿宋_GB2312" w:eastAsia="仿宋_GB2312" w:cs="仿宋_GB2312"/>
          <w:b w:val="0"/>
          <w:bCs w:val="0"/>
          <w:color w:val="auto"/>
          <w:kern w:val="0"/>
          <w:sz w:val="32"/>
          <w:szCs w:val="32"/>
          <w:highlight w:val="none"/>
          <w:lang w:val="zh-CN" w:eastAsia="zh-CN" w:bidi="ar-SA"/>
        </w:rPr>
        <w:t>）应急处置中遇到的重大情况及时向市人民政府、省交通运输厅报告。</w:t>
      </w:r>
      <w:bookmarkStart w:id="238" w:name="_Toc283810583"/>
      <w:r>
        <w:rPr>
          <w:rFonts w:hint="eastAsia" w:ascii="仿宋_GB2312" w:hAnsi="仿宋_GB2312" w:eastAsia="仿宋_GB2312" w:cs="仿宋_GB2312"/>
          <w:b w:val="0"/>
          <w:bCs w:val="0"/>
          <w:color w:val="auto"/>
          <w:kern w:val="0"/>
          <w:sz w:val="32"/>
          <w:szCs w:val="32"/>
          <w:highlight w:val="none"/>
          <w:lang w:val="zh-CN" w:eastAsia="zh-CN" w:bidi="ar-SA"/>
        </w:rPr>
        <w:t>当超出市交通运输局本级处置能力时，报请市人民政府、省交通运输厅请求支持。</w:t>
      </w:r>
      <w:bookmarkEnd w:id="238"/>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lang w:val="zh-CN" w:eastAsia="zh-CN" w:bidi="ar-SA"/>
        </w:rPr>
      </w:pPr>
      <w:bookmarkStart w:id="239" w:name="_Toc283810588"/>
      <w:r>
        <w:rPr>
          <w:rFonts w:hint="eastAsia" w:ascii="仿宋_GB2312" w:hAnsi="仿宋_GB2312" w:eastAsia="仿宋_GB2312" w:cs="仿宋_GB2312"/>
          <w:b/>
          <w:bCs/>
          <w:color w:val="auto"/>
          <w:kern w:val="0"/>
          <w:sz w:val="32"/>
          <w:szCs w:val="32"/>
          <w:highlight w:val="none"/>
          <w:lang w:val="en-US" w:eastAsia="zh-CN" w:bidi="ar-SA"/>
        </w:rPr>
        <w:t>5</w:t>
      </w:r>
      <w:r>
        <w:rPr>
          <w:rFonts w:hint="eastAsia" w:ascii="仿宋_GB2312" w:hAnsi="仿宋_GB2312" w:eastAsia="仿宋_GB2312" w:cs="仿宋_GB2312"/>
          <w:b/>
          <w:bCs/>
          <w:color w:val="auto"/>
          <w:kern w:val="0"/>
          <w:sz w:val="32"/>
          <w:szCs w:val="32"/>
          <w:highlight w:val="none"/>
          <w:lang w:val="zh-CN" w:eastAsia="zh-CN" w:bidi="ar-SA"/>
        </w:rPr>
        <w:t>.2.</w:t>
      </w:r>
      <w:r>
        <w:rPr>
          <w:rFonts w:hint="eastAsia" w:ascii="仿宋_GB2312" w:hAnsi="仿宋_GB2312" w:eastAsia="仿宋_GB2312" w:cs="仿宋_GB2312"/>
          <w:b/>
          <w:bCs/>
          <w:color w:val="auto"/>
          <w:kern w:val="0"/>
          <w:sz w:val="32"/>
          <w:szCs w:val="32"/>
          <w:highlight w:val="none"/>
          <w:lang w:val="en-US" w:eastAsia="zh-CN" w:bidi="ar-SA"/>
        </w:rPr>
        <w:t>2</w:t>
      </w:r>
      <w:r>
        <w:rPr>
          <w:rFonts w:hint="eastAsia" w:ascii="仿宋_GB2312" w:hAnsi="仿宋_GB2312" w:eastAsia="仿宋_GB2312" w:cs="仿宋_GB2312"/>
          <w:b/>
          <w:bCs/>
          <w:color w:val="auto"/>
          <w:kern w:val="0"/>
          <w:sz w:val="32"/>
          <w:szCs w:val="32"/>
          <w:highlight w:val="none"/>
          <w:lang w:val="zh-CN" w:eastAsia="zh-CN" w:bidi="ar-SA"/>
        </w:rPr>
        <w:t>Ⅲ级响应</w:t>
      </w:r>
      <w:bookmarkEnd w:id="239"/>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当发生符合本预案Ⅲ级响应条件时，市交通运输局启动Ⅲ级应急响应。市交通运输局属有关办公室提出Ⅲ级应急响应建议，由组长审核</w:t>
      </w:r>
      <w:r>
        <w:rPr>
          <w:rFonts w:hint="eastAsia" w:ascii="仿宋_GB2312" w:hAnsi="仿宋_GB2312" w:eastAsia="仿宋_GB2312" w:cs="仿宋_GB2312"/>
          <w:b w:val="0"/>
          <w:bCs w:val="0"/>
          <w:color w:val="auto"/>
          <w:kern w:val="0"/>
          <w:sz w:val="32"/>
          <w:szCs w:val="32"/>
          <w:highlight w:val="none"/>
          <w:lang w:val="en-US" w:eastAsia="zh-CN" w:bidi="ar-SA"/>
        </w:rPr>
        <w:t>及</w:t>
      </w:r>
      <w:r>
        <w:rPr>
          <w:rFonts w:hint="eastAsia" w:ascii="仿宋_GB2312" w:hAnsi="仿宋_GB2312" w:eastAsia="仿宋_GB2312" w:cs="仿宋_GB2312"/>
          <w:b w:val="0"/>
          <w:bCs w:val="0"/>
          <w:color w:val="auto"/>
          <w:kern w:val="0"/>
          <w:sz w:val="32"/>
          <w:szCs w:val="32"/>
          <w:highlight w:val="none"/>
          <w:lang w:val="zh-CN" w:eastAsia="zh-CN" w:bidi="ar-SA"/>
        </w:rPr>
        <w:t>批准后，启动Ⅲ级应急响应。</w:t>
      </w:r>
      <w:bookmarkStart w:id="240" w:name="_Toc283810590"/>
    </w:p>
    <w:p>
      <w:pPr>
        <w:pageBreakBefore w:val="0"/>
        <w:kinsoku/>
        <w:wordWrap/>
        <w:overflowPunct/>
        <w:topLinePunct w:val="0"/>
        <w:autoSpaceDE/>
        <w:autoSpaceDN/>
        <w:bidi w:val="0"/>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zh-CN" w:eastAsia="zh-CN" w:bidi="ar-SA"/>
        </w:rPr>
        <w:t>（一）响应行动</w:t>
      </w:r>
      <w:bookmarkEnd w:id="240"/>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241" w:name="_Toc283810591"/>
      <w:r>
        <w:rPr>
          <w:rFonts w:hint="eastAsia" w:ascii="仿宋_GB2312" w:hAnsi="仿宋_GB2312" w:eastAsia="仿宋_GB2312" w:cs="仿宋_GB2312"/>
          <w:b w:val="0"/>
          <w:bCs w:val="0"/>
          <w:color w:val="auto"/>
          <w:kern w:val="0"/>
          <w:sz w:val="32"/>
          <w:szCs w:val="32"/>
          <w:highlight w:val="none"/>
          <w:lang w:val="zh-CN" w:eastAsia="zh-CN" w:bidi="ar-SA"/>
        </w:rPr>
        <w:t>（1）对于先期处置未能有效控制事态而可能上升为Ⅲ级，市交通运输局属有关办公室提出应急响应建议，2小时内报副组长签发批准发布应急响应指令，并向组长报告情况。同时，并向市人民政府报告。</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2）根据市人民政府指示，市交通运输应急领导机构指挥开展行动。各应急工作组进入应急待命状态。综合协调组负责向相关下级交通运输应急管理机构下发指令文件，并电话确认接收。视情向省交通运输厅报告。</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（3）应急响应指令发布后，启动应急值班机制，各应急工作组相关人员根据本预案</w:t>
      </w:r>
      <w:r>
        <w:rPr>
          <w:rFonts w:hint="eastAsia" w:ascii="仿宋_GB2312" w:hAnsi="仿宋_GB2312" w:eastAsia="仿宋_GB2312" w:cs="仿宋_GB2312"/>
          <w:b w:val="0"/>
          <w:bCs w:val="0"/>
          <w:color w:val="auto"/>
          <w:kern w:val="0"/>
          <w:sz w:val="32"/>
          <w:szCs w:val="32"/>
          <w:highlight w:val="none"/>
          <w:lang w:val="en-US" w:eastAsia="zh-CN" w:bidi="ar-SA"/>
        </w:rPr>
        <w:t>3.2</w:t>
      </w:r>
      <w:r>
        <w:rPr>
          <w:rFonts w:hint="eastAsia" w:ascii="仿宋_GB2312" w:hAnsi="仿宋_GB2312" w:eastAsia="仿宋_GB2312" w:cs="仿宋_GB2312"/>
          <w:b w:val="0"/>
          <w:bCs w:val="0"/>
          <w:color w:val="auto"/>
          <w:kern w:val="0"/>
          <w:sz w:val="32"/>
          <w:szCs w:val="32"/>
          <w:highlight w:val="none"/>
          <w:lang w:val="zh-CN" w:eastAsia="zh-CN" w:bidi="ar-SA"/>
        </w:rPr>
        <w:t>款和</w:t>
      </w:r>
      <w:r>
        <w:rPr>
          <w:rFonts w:hint="eastAsia" w:ascii="仿宋_GB2312" w:hAnsi="仿宋_GB2312" w:eastAsia="仿宋_GB2312" w:cs="仿宋_GB2312"/>
          <w:b w:val="0"/>
          <w:bCs w:val="0"/>
          <w:color w:val="auto"/>
          <w:kern w:val="0"/>
          <w:sz w:val="32"/>
          <w:szCs w:val="32"/>
          <w:highlight w:val="none"/>
          <w:lang w:val="en-US" w:eastAsia="zh-CN" w:bidi="ar-SA"/>
        </w:rPr>
        <w:t>5</w:t>
      </w: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3</w:t>
      </w:r>
      <w:r>
        <w:rPr>
          <w:rFonts w:hint="eastAsia" w:ascii="仿宋_GB2312" w:hAnsi="仿宋_GB2312" w:eastAsia="仿宋_GB2312" w:cs="仿宋_GB2312"/>
          <w:b w:val="0"/>
          <w:bCs w:val="0"/>
          <w:color w:val="auto"/>
          <w:kern w:val="0"/>
          <w:sz w:val="32"/>
          <w:szCs w:val="32"/>
          <w:highlight w:val="none"/>
          <w:lang w:val="zh-CN" w:eastAsia="zh-CN" w:bidi="ar-SA"/>
        </w:rPr>
        <w:t>规定和市交通运输应急领导机构指令开展应急工作，并保证24小时联络畅通。</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（4）根据情况需要，由市交通运输应急领导机构组长决定应急响应是否需面向社会发布。由新闻宣传小组联系新闻媒体，面向社会公布信息。</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（5）局属相关单位负责人赴现场指挥协调。市交通运输应急领导机构分管副组长、局属有关办公室负责人视情赶赴现场指挥处置。根据需要，派出专家组赶赴一线加强技术指导。</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（6）相关单位根据市交通运输应急领导机构的指令立即启动相关应急响应，做好有关工作，每日两次向综合协调组上报一次处置情况信息，重大信息第一时间报告。</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（7）综合协调组及时掌握事态进展情况，迅速传达应急响应指令，根据需要编制突发事件应急简报。</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（8）当超出市交通运输局本级处置能力时，报请市人民政府、省交通运输厅请求支持。</w:t>
      </w:r>
    </w:p>
    <w:bookmarkEnd w:id="241"/>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lang w:val="zh-CN" w:eastAsia="zh-CN" w:bidi="ar-SA"/>
        </w:rPr>
      </w:pPr>
      <w:bookmarkStart w:id="242" w:name="_Toc283810592"/>
      <w:r>
        <w:rPr>
          <w:rFonts w:hint="eastAsia" w:ascii="仿宋_GB2312" w:hAnsi="仿宋_GB2312" w:eastAsia="仿宋_GB2312" w:cs="仿宋_GB2312"/>
          <w:b/>
          <w:bCs/>
          <w:color w:val="auto"/>
          <w:kern w:val="0"/>
          <w:sz w:val="32"/>
          <w:szCs w:val="32"/>
          <w:highlight w:val="none"/>
          <w:lang w:val="en-US" w:eastAsia="zh-CN" w:bidi="ar-SA"/>
        </w:rPr>
        <w:t>5</w:t>
      </w:r>
      <w:r>
        <w:rPr>
          <w:rFonts w:hint="eastAsia" w:ascii="仿宋_GB2312" w:hAnsi="仿宋_GB2312" w:eastAsia="仿宋_GB2312" w:cs="仿宋_GB2312"/>
          <w:b/>
          <w:bCs/>
          <w:color w:val="auto"/>
          <w:kern w:val="0"/>
          <w:sz w:val="32"/>
          <w:szCs w:val="32"/>
          <w:highlight w:val="none"/>
          <w:lang w:val="zh-CN" w:eastAsia="zh-CN" w:bidi="ar-SA"/>
        </w:rPr>
        <w:t>.2.</w:t>
      </w:r>
      <w:r>
        <w:rPr>
          <w:rFonts w:hint="eastAsia" w:ascii="仿宋_GB2312" w:hAnsi="仿宋_GB2312" w:eastAsia="仿宋_GB2312" w:cs="仿宋_GB2312"/>
          <w:b/>
          <w:bCs/>
          <w:color w:val="auto"/>
          <w:kern w:val="0"/>
          <w:sz w:val="32"/>
          <w:szCs w:val="32"/>
          <w:highlight w:val="none"/>
          <w:lang w:val="en-US" w:eastAsia="zh-CN" w:bidi="ar-SA"/>
        </w:rPr>
        <w:t>3</w:t>
      </w:r>
      <w:r>
        <w:rPr>
          <w:rFonts w:hint="eastAsia" w:ascii="仿宋_GB2312" w:hAnsi="仿宋_GB2312" w:eastAsia="仿宋_GB2312" w:cs="仿宋_GB2312"/>
          <w:b/>
          <w:bCs/>
          <w:color w:val="auto"/>
          <w:kern w:val="0"/>
          <w:sz w:val="32"/>
          <w:szCs w:val="32"/>
          <w:highlight w:val="none"/>
          <w:lang w:val="zh-CN" w:eastAsia="zh-CN" w:bidi="ar-SA"/>
        </w:rPr>
        <w:t>Ⅳ级响应</w:t>
      </w:r>
      <w:bookmarkEnd w:id="242"/>
      <w:bookmarkStart w:id="243" w:name="_Toc283810593"/>
    </w:p>
    <w:bookmarkEnd w:id="243"/>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当发生符合本预案Ⅳ级预警条件时，市交通运输局发布Ⅳ级预警，启动Ⅳ级应急响应。市交通运输局属有关办公室提出Ⅳ级预警响应建议，报副组长批准后，启动Ⅳ级应急响应。</w:t>
      </w:r>
      <w:bookmarkStart w:id="244" w:name="_Toc283810594"/>
    </w:p>
    <w:p>
      <w:pPr>
        <w:pageBreakBefore w:val="0"/>
        <w:kinsoku/>
        <w:wordWrap/>
        <w:overflowPunct/>
        <w:topLinePunct w:val="0"/>
        <w:autoSpaceDE/>
        <w:autoSpaceDN/>
        <w:bidi w:val="0"/>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lang w:val="zh-CN" w:eastAsia="zh-CN" w:bidi="ar-SA"/>
        </w:rPr>
      </w:pPr>
      <w:r>
        <w:rPr>
          <w:rFonts w:hint="eastAsia" w:ascii="仿宋_GB2312" w:hAnsi="仿宋_GB2312" w:eastAsia="仿宋_GB2312" w:cs="仿宋_GB2312"/>
          <w:b/>
          <w:bCs/>
          <w:color w:val="auto"/>
          <w:kern w:val="0"/>
          <w:sz w:val="32"/>
          <w:szCs w:val="32"/>
          <w:highlight w:val="none"/>
          <w:lang w:val="zh-CN" w:eastAsia="zh-CN" w:bidi="ar-SA"/>
        </w:rPr>
        <w:t>（一）响应行动</w:t>
      </w:r>
      <w:bookmarkEnd w:id="244"/>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（1）对于先期处置未能有效控制事态而可能上升为Ⅳ级，市交通运输局属有关办公室提出应急响应建议，2小时内报副组长签发批准发布应急响应指令，同时向组长报告情况。</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（2）各应急工作组进入应急待命状态。综合协调组负责向相关下级交通运输应急管理机构下发指令文件，并电话确认接收。视情向市人民政府、省交通运输厅报告。</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（3）应急响应指令发布后，启动应急值班机制，各应急工作组相关人员根据本预案</w:t>
      </w:r>
      <w:r>
        <w:rPr>
          <w:rFonts w:hint="eastAsia" w:ascii="仿宋_GB2312" w:hAnsi="仿宋_GB2312" w:eastAsia="仿宋_GB2312" w:cs="仿宋_GB2312"/>
          <w:b w:val="0"/>
          <w:bCs w:val="0"/>
          <w:color w:val="auto"/>
          <w:kern w:val="0"/>
          <w:sz w:val="32"/>
          <w:szCs w:val="32"/>
          <w:highlight w:val="none"/>
          <w:lang w:val="en-US" w:eastAsia="zh-CN" w:bidi="ar-SA"/>
        </w:rPr>
        <w:t>3.2</w:t>
      </w:r>
      <w:r>
        <w:rPr>
          <w:rFonts w:hint="eastAsia" w:ascii="仿宋_GB2312" w:hAnsi="仿宋_GB2312" w:eastAsia="仿宋_GB2312" w:cs="仿宋_GB2312"/>
          <w:b w:val="0"/>
          <w:bCs w:val="0"/>
          <w:color w:val="auto"/>
          <w:kern w:val="0"/>
          <w:sz w:val="32"/>
          <w:szCs w:val="32"/>
          <w:highlight w:val="none"/>
          <w:lang w:val="zh-CN" w:eastAsia="zh-CN" w:bidi="ar-SA"/>
        </w:rPr>
        <w:t>款规定开展应急工作，并保证24小时联络畅通。</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（4）根据情况需要，由市交通运输应急领导机构副组长决定预警响应是否需面向社会发布。由新闻宣传小组联系新闻媒体，面向社会公布信息。</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（5）局属相关单位负责人赶赴现场指挥协调，市交通运输局属有关办公室负责人视情赶赴现场。根据需要，派出专家组赴一线加强技术指导。</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（6）相关单位根据市交通运输应急领导机构的指令立即启动相关应急响应，做好有关工作，每日向综合协调组上报一次处置情况信息，重大信息第一时间报告。</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（7）综合协调组及时掌握事态进展情况，形成突发事件动态报告制度，迅速传达应急响应指令。</w:t>
      </w:r>
      <w:bookmarkStart w:id="245" w:name="_Toc283810595"/>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5.2.4响应终止</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实施市本级部门的突发事件应急响应的终止由市交通运输局采取如下终止程序：</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1</w:t>
      </w:r>
      <w:r>
        <w:rPr>
          <w:rFonts w:hint="eastAsia" w:ascii="仿宋_GB2312" w:hAnsi="仿宋_GB2312" w:eastAsia="仿宋_GB2312" w:cs="仿宋_GB2312"/>
          <w:b w:val="0"/>
          <w:bCs w:val="0"/>
          <w:color w:val="auto"/>
          <w:kern w:val="0"/>
          <w:sz w:val="32"/>
          <w:szCs w:val="32"/>
          <w:highlight w:val="none"/>
          <w:lang w:val="zh-CN" w:eastAsia="zh-CN" w:bidi="ar-SA"/>
        </w:rPr>
        <w:t>）交通运输突发事件得到控制或消除，交通运输恢复正常运行，市政府、省交通运输厅终止Ⅰ级、Ⅱ级应急响应后，由综合协调组向市交通运输应急领导机构提出实施市本级部门Ⅰ级、Ⅱ级应急响应状态终止建议。</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2</w:t>
      </w:r>
      <w:r>
        <w:rPr>
          <w:rFonts w:hint="eastAsia" w:ascii="仿宋_GB2312" w:hAnsi="仿宋_GB2312" w:eastAsia="仿宋_GB2312" w:cs="仿宋_GB2312"/>
          <w:b w:val="0"/>
          <w:bCs w:val="0"/>
          <w:color w:val="auto"/>
          <w:kern w:val="0"/>
          <w:sz w:val="32"/>
          <w:szCs w:val="32"/>
          <w:highlight w:val="none"/>
          <w:lang w:val="zh-CN" w:eastAsia="zh-CN" w:bidi="ar-SA"/>
        </w:rPr>
        <w:t>）市人民政府终止Ⅲ级应急响应后，或综合协调组根据掌握的事件信息，确认交通运输突发事件得到控制或消除，交通运输恢复正常运行，向市交通运输应急领导机构提出Ⅲ级应急响应状态终止建议。市交通运输应急领导机构决定是否终止Ⅲ级应急响应状态，如同意终止，提出应急响应终止后续处理意见，必要时向市人民政府、省交通运输厅报告。</w:t>
      </w:r>
    </w:p>
    <w:p>
      <w:pPr>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3</w:t>
      </w:r>
      <w:r>
        <w:rPr>
          <w:rFonts w:hint="eastAsia" w:ascii="仿宋_GB2312" w:hAnsi="仿宋_GB2312" w:eastAsia="仿宋_GB2312" w:cs="仿宋_GB2312"/>
          <w:b w:val="0"/>
          <w:bCs w:val="0"/>
          <w:color w:val="auto"/>
          <w:kern w:val="0"/>
          <w:sz w:val="32"/>
          <w:szCs w:val="32"/>
          <w:highlight w:val="none"/>
          <w:lang w:val="zh-CN" w:eastAsia="zh-CN" w:bidi="ar-SA"/>
        </w:rPr>
        <w:t>）综合协调组根据掌握的事件信息，确认交通运输突发事件得到控制或消除，交通运输恢复正常运行，向市交通运输应急领导机构提出Ⅳ级应急响应状态终止建议。市交通运输应急领导机构决定是否终止Ⅳ级应急响应状态，如同意终止，签发Ⅳ级应急响应终止文件，提出应急响应终止后续处理意见，必要时向市人民政府、省交通运输厅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zh-CN"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4</w:t>
      </w:r>
      <w:r>
        <w:rPr>
          <w:rFonts w:hint="eastAsia" w:ascii="仿宋_GB2312" w:hAnsi="仿宋_GB2312" w:eastAsia="仿宋_GB2312" w:cs="仿宋_GB2312"/>
          <w:b w:val="0"/>
          <w:bCs w:val="0"/>
          <w:color w:val="auto"/>
          <w:kern w:val="0"/>
          <w:sz w:val="32"/>
          <w:szCs w:val="32"/>
          <w:highlight w:val="none"/>
          <w:lang w:val="zh-CN" w:eastAsia="zh-CN" w:bidi="ar-SA"/>
        </w:rPr>
        <w:t>）综合协调组负责向社会宣布应急响应结束，说明已经采取的措施和效果以及应急响应终止后将采取的各项措施。</w:t>
      </w:r>
      <w:bookmarkEnd w:id="235"/>
      <w:bookmarkEnd w:id="236"/>
      <w:bookmarkEnd w:id="245"/>
    </w:p>
    <w:p>
      <w:pPr>
        <w:pStyle w:val="3"/>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黑体" w:hAnsi="黑体" w:eastAsia="黑体" w:cs="黑体"/>
          <w:b w:val="0"/>
          <w:bCs w:val="0"/>
          <w:color w:val="auto"/>
          <w:highlight w:val="none"/>
          <w:lang w:val="zh-CN" w:eastAsia="zh-CN"/>
        </w:rPr>
      </w:pPr>
      <w:bookmarkStart w:id="246" w:name="_Toc32687"/>
      <w:bookmarkStart w:id="247" w:name="_Toc25113"/>
      <w:bookmarkStart w:id="248" w:name="_Toc16327"/>
      <w:r>
        <w:rPr>
          <w:rFonts w:hint="eastAsia" w:ascii="黑体" w:hAnsi="黑体" w:eastAsia="黑体" w:cs="黑体"/>
          <w:b w:val="0"/>
          <w:bCs w:val="0"/>
          <w:color w:val="auto"/>
          <w:highlight w:val="none"/>
          <w:lang w:val="en-US" w:eastAsia="zh-CN"/>
        </w:rPr>
        <w:t>5</w:t>
      </w:r>
      <w:r>
        <w:rPr>
          <w:rFonts w:hint="eastAsia" w:ascii="黑体" w:hAnsi="黑体" w:eastAsia="黑体" w:cs="黑体"/>
          <w:b w:val="0"/>
          <w:bCs w:val="0"/>
          <w:color w:val="auto"/>
          <w:highlight w:val="none"/>
          <w:lang w:val="zh-CN" w:eastAsia="zh-CN"/>
        </w:rPr>
        <w:t>.</w:t>
      </w:r>
      <w:r>
        <w:rPr>
          <w:rFonts w:hint="eastAsia" w:ascii="黑体" w:hAnsi="黑体" w:eastAsia="黑体" w:cs="黑体"/>
          <w:b w:val="0"/>
          <w:bCs w:val="0"/>
          <w:color w:val="auto"/>
          <w:highlight w:val="none"/>
          <w:lang w:val="en-US" w:eastAsia="zh-CN"/>
        </w:rPr>
        <w:t>3</w:t>
      </w:r>
      <w:r>
        <w:rPr>
          <w:rFonts w:hint="eastAsia" w:ascii="黑体" w:hAnsi="黑体" w:eastAsia="黑体" w:cs="黑体"/>
          <w:b w:val="0"/>
          <w:bCs w:val="0"/>
          <w:color w:val="auto"/>
          <w:highlight w:val="none"/>
          <w:lang w:val="zh-CN" w:eastAsia="zh-CN"/>
        </w:rPr>
        <w:t>分类处置</w:t>
      </w:r>
      <w:bookmarkEnd w:id="246"/>
      <w:bookmarkEnd w:id="247"/>
      <w:bookmarkEnd w:id="248"/>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249" w:name="_Toc22545"/>
      <w:bookmarkStart w:id="250" w:name="_Toc22092"/>
      <w:bookmarkStart w:id="251" w:name="_Toc29736"/>
      <w:bookmarkStart w:id="252" w:name="_Toc30650"/>
      <w:bookmarkStart w:id="253" w:name="_Toc9310"/>
      <w:bookmarkStart w:id="254" w:name="_Toc11534"/>
      <w:bookmarkStart w:id="255" w:name="_Toc18513"/>
      <w:bookmarkStart w:id="256" w:name="_Toc26524"/>
      <w:bookmarkStart w:id="257" w:name="_Toc12292"/>
      <w:bookmarkStart w:id="258" w:name="_Toc31218"/>
      <w:bookmarkStart w:id="259" w:name="_Toc3663"/>
      <w:r>
        <w:rPr>
          <w:rFonts w:hint="eastAsia" w:ascii="仿宋_GB2312" w:hAnsi="仿宋_GB2312" w:eastAsia="仿宋_GB2312" w:cs="仿宋_GB2312"/>
          <w:b w:val="0"/>
          <w:bCs w:val="0"/>
          <w:color w:val="auto"/>
          <w:kern w:val="0"/>
          <w:sz w:val="32"/>
          <w:szCs w:val="32"/>
          <w:highlight w:val="none"/>
          <w:lang w:val="zh-CN" w:eastAsia="zh-CN" w:bidi="ar-SA"/>
        </w:rPr>
        <w:t>启动应急响应后，根据突发事件的不同类别和职责分工，确定相应的牵头部门，组织采取不同处置措施。</w:t>
      </w:r>
      <w:bookmarkEnd w:id="249"/>
      <w:bookmarkEnd w:id="250"/>
      <w:bookmarkEnd w:id="251"/>
      <w:bookmarkEnd w:id="252"/>
      <w:bookmarkEnd w:id="253"/>
      <w:bookmarkEnd w:id="254"/>
      <w:bookmarkEnd w:id="255"/>
      <w:bookmarkEnd w:id="256"/>
      <w:bookmarkEnd w:id="257"/>
      <w:bookmarkEnd w:id="258"/>
      <w:bookmarkEnd w:id="259"/>
    </w:p>
    <w:p>
      <w:pPr>
        <w:bidi w:val="0"/>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lang w:val="zh-CN" w:eastAsia="zh-CN"/>
        </w:rPr>
        <w:t>.</w:t>
      </w: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lang w:val="zh-CN" w:eastAsia="zh-CN"/>
        </w:rPr>
        <w:t>.</w:t>
      </w:r>
      <w:r>
        <w:rPr>
          <w:rFonts w:hint="eastAsia" w:ascii="仿宋_GB2312" w:hAnsi="仿宋_GB2312" w:eastAsia="仿宋_GB2312" w:cs="仿宋_GB2312"/>
          <w:b/>
          <w:bCs/>
          <w:color w:val="auto"/>
          <w:kern w:val="0"/>
          <w:sz w:val="32"/>
          <w:szCs w:val="32"/>
          <w:highlight w:val="none"/>
          <w:lang w:val="zh-CN" w:eastAsia="zh-CN" w:bidi="ar-SA"/>
        </w:rPr>
        <w:t>1公共卫生突发事件应急处置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应对在交通运输工具或交通运输服务场所发生的疫情、甲类传染病等公共卫生突发事件，需市交通运输局紧急采取措施的，由市交通运输局应急办牵头，负责综合协调并负责应急信息汇总、上报，局其他相关办公室等配合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应包含主要措施：指导、协调各级运管部门加强对道路运输、场站枢纽、城市公交的疫情监控等工作，一旦发现疑似或确诊病例，配合卫生等部门对相关人员进行隔离，对运输车辆、场站枢纽、城市公交做好通风、消毒等工作，并做好信息报告工作。</w:t>
      </w:r>
    </w:p>
    <w:p>
      <w:pPr>
        <w:bidi w:val="0"/>
        <w:ind w:firstLine="643" w:firstLineChars="200"/>
        <w:rPr>
          <w:rFonts w:hint="eastAsia" w:ascii="仿宋_GB2312" w:hAnsi="仿宋_GB2312" w:eastAsia="仿宋_GB2312" w:cs="仿宋_GB2312"/>
          <w:b/>
          <w:bCs/>
          <w:color w:val="auto"/>
          <w:kern w:val="0"/>
          <w:sz w:val="32"/>
          <w:szCs w:val="32"/>
          <w:highlight w:val="none"/>
          <w:lang w:val="zh-CN" w:eastAsia="zh-CN"/>
        </w:rPr>
      </w:pPr>
      <w:r>
        <w:rPr>
          <w:rFonts w:hint="eastAsia" w:ascii="仿宋_GB2312" w:hAnsi="仿宋_GB2312" w:eastAsia="仿宋_GB2312" w:cs="仿宋_GB2312"/>
          <w:b/>
          <w:bCs/>
          <w:color w:val="auto"/>
          <w:kern w:val="0"/>
          <w:sz w:val="32"/>
          <w:szCs w:val="32"/>
          <w:highlight w:val="none"/>
          <w:lang w:val="en-US" w:eastAsia="zh-CN"/>
        </w:rPr>
        <w:t>5.3.2</w:t>
      </w:r>
      <w:r>
        <w:rPr>
          <w:rFonts w:hint="eastAsia" w:ascii="仿宋_GB2312" w:hAnsi="仿宋_GB2312" w:eastAsia="仿宋_GB2312" w:cs="仿宋_GB2312"/>
          <w:b/>
          <w:bCs/>
          <w:color w:val="auto"/>
          <w:kern w:val="0"/>
          <w:sz w:val="32"/>
          <w:szCs w:val="32"/>
          <w:highlight w:val="none"/>
          <w:lang w:val="zh-CN" w:eastAsia="zh-CN"/>
        </w:rPr>
        <w:t>自然灾害</w:t>
      </w:r>
      <w:r>
        <w:rPr>
          <w:rFonts w:hint="eastAsia" w:ascii="仿宋_GB2312" w:hAnsi="仿宋_GB2312" w:eastAsia="仿宋_GB2312" w:cs="仿宋_GB2312"/>
          <w:b/>
          <w:bCs/>
          <w:color w:val="auto"/>
          <w:kern w:val="0"/>
          <w:sz w:val="32"/>
          <w:szCs w:val="32"/>
          <w:highlight w:val="none"/>
          <w:lang w:val="zh-CN" w:eastAsia="zh-CN" w:bidi="ar-SA"/>
        </w:rPr>
        <w:t>突发事件应急处置</w:t>
      </w:r>
    </w:p>
    <w:p>
      <w:pPr>
        <w:bidi w:val="0"/>
        <w:ind w:firstLine="640" w:firstLineChars="200"/>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应对自然灾害突发事件，且需市交通运输局提供交通运输综合应急保障的，由</w:t>
      </w:r>
      <w:r>
        <w:rPr>
          <w:rFonts w:hint="eastAsia" w:ascii="仿宋_GB2312" w:hAnsi="仿宋_GB2312" w:eastAsia="仿宋_GB2312" w:cs="仿宋_GB2312"/>
          <w:sz w:val="32"/>
          <w:szCs w:val="32"/>
          <w:highlight w:val="none"/>
          <w:lang w:val="en-US" w:eastAsia="zh-CN"/>
        </w:rPr>
        <w:t>运输管理</w:t>
      </w:r>
      <w:r>
        <w:rPr>
          <w:rFonts w:hint="eastAsia" w:ascii="仿宋_GB2312" w:hAnsi="仿宋_GB2312" w:eastAsia="仿宋_GB2312" w:cs="仿宋_GB2312"/>
          <w:sz w:val="32"/>
          <w:szCs w:val="32"/>
          <w:highlight w:val="none"/>
          <w:lang w:val="zh-CN" w:eastAsia="zh-CN"/>
        </w:rPr>
        <w:t>办公室牵头，局其他相关办公室等配合处置。</w:t>
      </w:r>
      <w:r>
        <w:rPr>
          <w:rFonts w:hint="eastAsia" w:ascii="仿宋_GB2312" w:hAnsi="仿宋_GB2312" w:eastAsia="仿宋_GB2312" w:cs="仿宋_GB2312"/>
          <w:sz w:val="32"/>
          <w:szCs w:val="32"/>
          <w:highlight w:val="none"/>
          <w:lang w:val="en-US" w:eastAsia="zh-CN"/>
        </w:rPr>
        <w:t>市交通运输局</w:t>
      </w:r>
      <w:r>
        <w:rPr>
          <w:rFonts w:hint="eastAsia" w:ascii="仿宋_GB2312" w:hAnsi="仿宋_GB2312" w:eastAsia="仿宋_GB2312" w:cs="仿宋_GB2312"/>
          <w:sz w:val="32"/>
          <w:szCs w:val="32"/>
          <w:highlight w:val="none"/>
          <w:lang w:val="zh-CN" w:eastAsia="zh-CN"/>
        </w:rPr>
        <w:t>办公室负责综合协调工作，</w:t>
      </w:r>
      <w:r>
        <w:rPr>
          <w:rFonts w:hint="eastAsia" w:ascii="仿宋_GB2312" w:hAnsi="仿宋_GB2312" w:eastAsia="仿宋_GB2312" w:cs="仿宋_GB2312"/>
          <w:sz w:val="32"/>
          <w:szCs w:val="32"/>
          <w:highlight w:val="none"/>
          <w:lang w:val="en-US" w:eastAsia="zh-CN"/>
        </w:rPr>
        <w:t>负责</w:t>
      </w:r>
      <w:r>
        <w:rPr>
          <w:rFonts w:hint="eastAsia" w:ascii="仿宋_GB2312" w:hAnsi="仿宋_GB2312" w:eastAsia="仿宋_GB2312" w:cs="仿宋_GB2312"/>
          <w:sz w:val="32"/>
          <w:szCs w:val="32"/>
          <w:highlight w:val="none"/>
          <w:lang w:val="zh-CN" w:eastAsia="zh-CN"/>
        </w:rPr>
        <w:t>突发事件信息收集汇总、上报</w:t>
      </w:r>
      <w:r>
        <w:rPr>
          <w:rFonts w:hint="eastAsia" w:ascii="仿宋_GB2312" w:hAnsi="仿宋_GB2312" w:eastAsia="仿宋_GB2312" w:cs="仿宋_GB2312"/>
          <w:sz w:val="32"/>
          <w:szCs w:val="32"/>
          <w:highlight w:val="none"/>
          <w:lang w:val="en-US" w:eastAsia="zh-CN"/>
        </w:rPr>
        <w:t>以及</w:t>
      </w:r>
      <w:r>
        <w:rPr>
          <w:rFonts w:hint="eastAsia" w:ascii="仿宋_GB2312" w:hAnsi="仿宋_GB2312" w:eastAsia="仿宋_GB2312" w:cs="仿宋_GB2312"/>
          <w:sz w:val="32"/>
          <w:szCs w:val="32"/>
          <w:highlight w:val="none"/>
          <w:lang w:val="zh-CN" w:eastAsia="zh-CN"/>
        </w:rPr>
        <w:t>应急通信保障工作。</w:t>
      </w:r>
      <w:r>
        <w:rPr>
          <w:rFonts w:hint="eastAsia" w:ascii="仿宋_GB2312" w:hAnsi="仿宋_GB2312" w:eastAsia="仿宋_GB2312" w:cs="仿宋_GB2312"/>
          <w:sz w:val="32"/>
          <w:szCs w:val="32"/>
          <w:highlight w:val="none"/>
          <w:lang w:val="en-US" w:eastAsia="zh-CN"/>
        </w:rPr>
        <w:t>交通运输和地方公路事务中心</w:t>
      </w:r>
      <w:r>
        <w:rPr>
          <w:rFonts w:hint="eastAsia" w:ascii="仿宋_GB2312" w:hAnsi="仿宋_GB2312" w:eastAsia="仿宋_GB2312" w:cs="仿宋_GB2312"/>
          <w:sz w:val="32"/>
          <w:szCs w:val="32"/>
          <w:highlight w:val="none"/>
          <w:lang w:val="zh-CN" w:eastAsia="zh-CN"/>
        </w:rPr>
        <w:t>负责公路抢通保通</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lang w:val="zh-CN" w:eastAsia="zh-CN"/>
        </w:rPr>
        <w:t>道路运输应急运力保障指导、协调工作。</w:t>
      </w:r>
    </w:p>
    <w:p>
      <w:pPr>
        <w:bidi w:val="0"/>
        <w:ind w:firstLine="640" w:firstLineChars="200"/>
        <w:rPr>
          <w:rFonts w:hint="eastAsia" w:ascii="仿宋_GB2312" w:hAnsi="仿宋_GB2312" w:eastAsia="仿宋_GB2312" w:cs="仿宋_GB2312"/>
          <w:b w:val="0"/>
          <w:bCs w:val="0"/>
          <w:color w:val="auto"/>
          <w:kern w:val="0"/>
          <w:szCs w:val="32"/>
          <w:highlight w:val="none"/>
          <w:lang w:val="zh-CN" w:eastAsia="zh-CN" w:bidi="ar-SA"/>
        </w:rPr>
      </w:pPr>
      <w:r>
        <w:rPr>
          <w:rFonts w:hint="eastAsia" w:ascii="仿宋_GB2312" w:hAnsi="仿宋_GB2312" w:eastAsia="仿宋_GB2312" w:cs="仿宋_GB2312"/>
          <w:sz w:val="32"/>
          <w:szCs w:val="32"/>
          <w:highlight w:val="none"/>
          <w:lang w:val="zh-CN" w:eastAsia="zh-CN"/>
        </w:rPr>
        <w:t>应包含主要措施：及时发布因自然灾害导致的公路通行受阻、断道，交通运行时间调整、停运等信息；组织应急运力，转运因灾滞留人员，协助相关单位抢救伤员；根据实际需要，要求采取交通管制、调整发班和施工作业时间、停运、停班、停工等避险措施；调集应急力量抢修因灾受损的交通基础设施。</w:t>
      </w:r>
    </w:p>
    <w:p>
      <w:pPr>
        <w:bidi w:val="0"/>
        <w:ind w:firstLine="643" w:firstLineChars="200"/>
        <w:rPr>
          <w:rFonts w:hint="eastAsia" w:ascii="仿宋_GB2312" w:hAnsi="仿宋_GB2312" w:eastAsia="仿宋_GB2312" w:cs="仿宋_GB2312"/>
          <w:b/>
          <w:bCs/>
          <w:color w:val="auto"/>
          <w:kern w:val="0"/>
          <w:sz w:val="32"/>
          <w:szCs w:val="32"/>
          <w:highlight w:val="none"/>
          <w:lang w:val="zh-CN" w:eastAsia="zh-CN"/>
        </w:rPr>
      </w:pPr>
      <w:bookmarkStart w:id="260" w:name="_Toc12760"/>
      <w:bookmarkStart w:id="261" w:name="_Toc14746"/>
      <w:bookmarkStart w:id="262" w:name="_Toc1859"/>
      <w:bookmarkStart w:id="263" w:name="_Toc2448"/>
      <w:bookmarkStart w:id="264" w:name="_Toc7503"/>
      <w:bookmarkStart w:id="265" w:name="_Toc18982"/>
      <w:bookmarkStart w:id="266" w:name="_Toc10395"/>
      <w:bookmarkStart w:id="267" w:name="_Toc24712"/>
      <w:bookmarkStart w:id="268" w:name="_Toc26973"/>
      <w:bookmarkStart w:id="269" w:name="_Toc5345"/>
      <w:bookmarkStart w:id="270" w:name="_Toc21410"/>
      <w:bookmarkStart w:id="271" w:name="_Toc18083"/>
      <w:bookmarkStart w:id="272" w:name="_Toc2738"/>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lang w:val="zh-CN" w:eastAsia="zh-CN"/>
        </w:rPr>
        <w:t>.</w:t>
      </w: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lang w:val="zh-CN" w:eastAsia="zh-CN"/>
        </w:rPr>
        <w:t>.</w:t>
      </w: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lang w:val="zh-CN" w:eastAsia="zh-CN" w:bidi="ar-SA"/>
        </w:rPr>
        <w:t>综合运输保障事件应急处置</w:t>
      </w:r>
      <w:bookmarkEnd w:id="260"/>
      <w:bookmarkEnd w:id="261"/>
      <w:bookmarkEnd w:id="262"/>
      <w:bookmarkEnd w:id="263"/>
      <w:bookmarkEnd w:id="264"/>
      <w:bookmarkEnd w:id="265"/>
      <w:bookmarkEnd w:id="266"/>
      <w:bookmarkEnd w:id="267"/>
      <w:bookmarkEnd w:id="268"/>
      <w:bookmarkEnd w:id="269"/>
      <w:bookmarkEnd w:id="270"/>
      <w:bookmarkEnd w:id="271"/>
      <w:bookmarkEnd w:id="272"/>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273" w:name="_Toc2650"/>
      <w:bookmarkStart w:id="274" w:name="_Toc15491"/>
      <w:bookmarkStart w:id="275" w:name="_Toc24023"/>
      <w:bookmarkStart w:id="276" w:name="_Toc8451"/>
      <w:bookmarkStart w:id="277" w:name="_Toc14171"/>
      <w:bookmarkStart w:id="278" w:name="_Toc3702"/>
      <w:bookmarkStart w:id="279" w:name="_Toc10099"/>
      <w:bookmarkStart w:id="280" w:name="_Toc30241"/>
      <w:bookmarkStart w:id="281" w:name="_Toc24955"/>
      <w:bookmarkStart w:id="282" w:name="_Toc13226"/>
      <w:bookmarkStart w:id="283" w:name="_Toc9328"/>
      <w:r>
        <w:rPr>
          <w:rFonts w:hint="eastAsia" w:ascii="仿宋_GB2312" w:hAnsi="仿宋_GB2312" w:eastAsia="仿宋_GB2312" w:cs="仿宋_GB2312"/>
          <w:b w:val="0"/>
          <w:bCs w:val="0"/>
          <w:color w:val="auto"/>
          <w:kern w:val="0"/>
          <w:sz w:val="32"/>
          <w:szCs w:val="32"/>
          <w:highlight w:val="none"/>
          <w:lang w:val="zh-CN" w:eastAsia="zh-CN" w:bidi="ar-SA"/>
        </w:rPr>
        <w:t>应对需市交通运输局提供跨地区公路综合运输保障的突发事件，由</w:t>
      </w:r>
      <w:r>
        <w:rPr>
          <w:rFonts w:hint="eastAsia" w:ascii="仿宋_GB2312" w:hAnsi="仿宋_GB2312" w:eastAsia="仿宋_GB2312" w:cs="仿宋_GB2312"/>
          <w:b w:val="0"/>
          <w:bCs w:val="0"/>
          <w:color w:val="auto"/>
          <w:kern w:val="0"/>
          <w:sz w:val="32"/>
          <w:szCs w:val="32"/>
          <w:highlight w:val="none"/>
          <w:lang w:val="en-US" w:eastAsia="zh-CN" w:bidi="ar-SA"/>
        </w:rPr>
        <w:t>市交通运输局办公室</w:t>
      </w:r>
      <w:r>
        <w:rPr>
          <w:rFonts w:hint="eastAsia" w:ascii="仿宋_GB2312" w:hAnsi="仿宋_GB2312" w:eastAsia="仿宋_GB2312" w:cs="仿宋_GB2312"/>
          <w:b w:val="0"/>
          <w:bCs w:val="0"/>
          <w:color w:val="auto"/>
          <w:kern w:val="0"/>
          <w:sz w:val="32"/>
          <w:szCs w:val="32"/>
          <w:highlight w:val="none"/>
          <w:lang w:val="zh-CN" w:eastAsia="zh-CN" w:bidi="ar-SA"/>
        </w:rPr>
        <w:t>负责综合协调工作。</w:t>
      </w:r>
      <w:r>
        <w:rPr>
          <w:rFonts w:hint="eastAsia" w:ascii="仿宋_GB2312" w:hAnsi="仿宋_GB2312" w:eastAsia="仿宋_GB2312" w:cs="仿宋_GB2312"/>
          <w:b w:val="0"/>
          <w:bCs w:val="0"/>
          <w:color w:val="auto"/>
          <w:kern w:val="0"/>
          <w:sz w:val="32"/>
          <w:szCs w:val="32"/>
          <w:highlight w:val="none"/>
          <w:lang w:val="en-US" w:eastAsia="zh-CN" w:bidi="ar-SA"/>
        </w:rPr>
        <w:t>交通运输和地方公路事务中心</w:t>
      </w:r>
      <w:r>
        <w:rPr>
          <w:rFonts w:hint="eastAsia" w:ascii="仿宋_GB2312" w:hAnsi="仿宋_GB2312" w:eastAsia="仿宋_GB2312" w:cs="仿宋_GB2312"/>
          <w:b w:val="0"/>
          <w:bCs w:val="0"/>
          <w:color w:val="auto"/>
          <w:kern w:val="0"/>
          <w:sz w:val="32"/>
          <w:szCs w:val="32"/>
          <w:highlight w:val="none"/>
          <w:lang w:val="zh-CN" w:eastAsia="zh-CN" w:bidi="ar-SA"/>
        </w:rPr>
        <w:t>具体负责公路通行保障工作。</w:t>
      </w:r>
      <w:bookmarkEnd w:id="273"/>
      <w:bookmarkEnd w:id="274"/>
      <w:bookmarkEnd w:id="275"/>
      <w:bookmarkEnd w:id="276"/>
      <w:bookmarkEnd w:id="277"/>
      <w:bookmarkEnd w:id="278"/>
      <w:bookmarkEnd w:id="279"/>
      <w:bookmarkEnd w:id="280"/>
      <w:bookmarkEnd w:id="281"/>
      <w:bookmarkEnd w:id="282"/>
      <w:bookmarkEnd w:id="283"/>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284" w:name="_Toc13995"/>
      <w:bookmarkStart w:id="285" w:name="_Toc349"/>
      <w:bookmarkStart w:id="286" w:name="_Toc18327"/>
      <w:bookmarkStart w:id="287" w:name="_Toc22580"/>
      <w:bookmarkStart w:id="288" w:name="_Toc27414"/>
      <w:bookmarkStart w:id="289" w:name="_Toc18060"/>
      <w:bookmarkStart w:id="290" w:name="_Toc20462"/>
      <w:bookmarkStart w:id="291" w:name="_Toc28338"/>
      <w:bookmarkStart w:id="292" w:name="_Toc4570"/>
      <w:bookmarkStart w:id="293" w:name="_Toc2176"/>
      <w:bookmarkStart w:id="294" w:name="_Toc4590"/>
      <w:r>
        <w:rPr>
          <w:rFonts w:hint="eastAsia" w:ascii="仿宋_GB2312" w:hAnsi="仿宋_GB2312" w:eastAsia="仿宋_GB2312" w:cs="仿宋_GB2312"/>
          <w:b w:val="0"/>
          <w:bCs w:val="0"/>
          <w:color w:val="auto"/>
          <w:kern w:val="0"/>
          <w:sz w:val="32"/>
          <w:szCs w:val="32"/>
          <w:highlight w:val="none"/>
          <w:lang w:val="zh-CN" w:eastAsia="zh-CN" w:bidi="ar-SA"/>
        </w:rPr>
        <w:t>应包含主要措施：协调相关县（市、区）交通运输主管部门做好道路应急运力保障工作配合相关救援力量抢救事故伤员，组织转运现场滞留人员；责令企业积极开展善后工作，配合开展调查工作。依法参与事故调查工作，协助属地政府做好善后维稳工作。涉及危险化学品运输车辆的，应责令企业主要负责人、技术负责人和专业人员、专用设施装备到现场实施处置工作。涉及城市公交的，应实施暂停本线路或相关线路运行、组织被困人员自救、疏散等措施。</w:t>
      </w:r>
      <w:bookmarkEnd w:id="284"/>
      <w:bookmarkEnd w:id="285"/>
      <w:bookmarkEnd w:id="286"/>
      <w:bookmarkEnd w:id="287"/>
      <w:bookmarkEnd w:id="288"/>
      <w:bookmarkEnd w:id="289"/>
      <w:bookmarkEnd w:id="290"/>
      <w:bookmarkEnd w:id="291"/>
      <w:bookmarkEnd w:id="292"/>
      <w:bookmarkEnd w:id="293"/>
      <w:bookmarkEnd w:id="294"/>
    </w:p>
    <w:p>
      <w:pPr>
        <w:bidi w:val="0"/>
        <w:ind w:firstLine="643" w:firstLineChars="200"/>
        <w:rPr>
          <w:rFonts w:hint="eastAsia" w:ascii="仿宋_GB2312" w:hAnsi="仿宋_GB2312" w:eastAsia="仿宋_GB2312" w:cs="仿宋_GB2312"/>
          <w:b/>
          <w:bCs/>
          <w:color w:val="auto"/>
          <w:kern w:val="0"/>
          <w:sz w:val="32"/>
          <w:szCs w:val="32"/>
          <w:highlight w:val="none"/>
          <w:lang w:val="zh-CN" w:eastAsia="zh-CN"/>
        </w:rPr>
      </w:pPr>
      <w:bookmarkStart w:id="295" w:name="_Toc32295"/>
      <w:bookmarkStart w:id="296" w:name="_Toc30238"/>
      <w:bookmarkStart w:id="297" w:name="_Toc17705"/>
      <w:bookmarkStart w:id="298" w:name="_Toc15407"/>
      <w:bookmarkStart w:id="299" w:name="_Toc28993"/>
      <w:bookmarkStart w:id="300" w:name="_Toc31368"/>
      <w:bookmarkStart w:id="301" w:name="_Toc4242"/>
      <w:bookmarkStart w:id="302" w:name="_Toc18190"/>
      <w:bookmarkStart w:id="303" w:name="_Toc6575"/>
      <w:bookmarkStart w:id="304" w:name="_Toc15015"/>
      <w:bookmarkStart w:id="305" w:name="_Toc23881"/>
      <w:bookmarkStart w:id="306" w:name="_Toc17155"/>
      <w:bookmarkStart w:id="307" w:name="_Toc905"/>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lang w:val="zh-CN" w:eastAsia="zh-CN"/>
        </w:rPr>
        <w:t>.</w:t>
      </w: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lang w:val="zh-CN" w:eastAsia="zh-CN"/>
        </w:rPr>
        <w:t>.</w:t>
      </w:r>
      <w:r>
        <w:rPr>
          <w:rFonts w:hint="eastAsia" w:ascii="仿宋_GB2312" w:hAnsi="仿宋_GB2312" w:eastAsia="仿宋_GB2312" w:cs="仿宋_GB2312"/>
          <w:b/>
          <w:bCs/>
          <w:color w:val="auto"/>
          <w:kern w:val="0"/>
          <w:sz w:val="32"/>
          <w:szCs w:val="32"/>
          <w:highlight w:val="none"/>
          <w:lang w:val="en-US" w:eastAsia="zh-CN"/>
        </w:rPr>
        <w:t>4</w:t>
      </w:r>
      <w:r>
        <w:rPr>
          <w:rFonts w:hint="eastAsia" w:ascii="仿宋_GB2312" w:hAnsi="仿宋_GB2312" w:eastAsia="仿宋_GB2312" w:cs="仿宋_GB2312"/>
          <w:b/>
          <w:bCs/>
          <w:color w:val="auto"/>
          <w:kern w:val="0"/>
          <w:sz w:val="32"/>
          <w:szCs w:val="32"/>
          <w:highlight w:val="none"/>
          <w:lang w:val="zh-CN" w:eastAsia="zh-CN"/>
        </w:rPr>
        <w:t>公路工程安全生产事故</w:t>
      </w:r>
      <w:r>
        <w:rPr>
          <w:rFonts w:hint="eastAsia" w:ascii="仿宋_GB2312" w:hAnsi="仿宋_GB2312" w:eastAsia="仿宋_GB2312" w:cs="仿宋_GB2312"/>
          <w:b/>
          <w:bCs/>
          <w:color w:val="auto"/>
          <w:kern w:val="0"/>
          <w:sz w:val="32"/>
          <w:szCs w:val="32"/>
          <w:highlight w:val="none"/>
          <w:lang w:val="zh-CN" w:eastAsia="zh-CN" w:bidi="ar-SA"/>
        </w:rPr>
        <w:t>应急处置</w:t>
      </w:r>
      <w:bookmarkEnd w:id="295"/>
      <w:bookmarkEnd w:id="296"/>
      <w:bookmarkEnd w:id="297"/>
      <w:bookmarkEnd w:id="298"/>
      <w:bookmarkEnd w:id="299"/>
      <w:bookmarkEnd w:id="300"/>
      <w:bookmarkEnd w:id="301"/>
      <w:bookmarkEnd w:id="302"/>
      <w:bookmarkEnd w:id="303"/>
      <w:bookmarkEnd w:id="304"/>
      <w:bookmarkEnd w:id="305"/>
      <w:bookmarkEnd w:id="306"/>
      <w:bookmarkEnd w:id="307"/>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308" w:name="_Toc3431"/>
      <w:bookmarkStart w:id="309" w:name="_Toc9426"/>
      <w:bookmarkStart w:id="310" w:name="_Toc28552"/>
      <w:bookmarkStart w:id="311" w:name="_Toc16172"/>
      <w:bookmarkStart w:id="312" w:name="_Toc11119"/>
      <w:bookmarkStart w:id="313" w:name="_Toc16608"/>
      <w:bookmarkStart w:id="314" w:name="_Toc28203"/>
      <w:bookmarkStart w:id="315" w:name="_Toc19"/>
      <w:bookmarkStart w:id="316" w:name="_Toc17425"/>
      <w:bookmarkStart w:id="317" w:name="_Toc10750"/>
      <w:bookmarkStart w:id="318" w:name="_Toc5300"/>
      <w:r>
        <w:rPr>
          <w:rFonts w:hint="eastAsia" w:ascii="仿宋_GB2312" w:hAnsi="仿宋_GB2312" w:eastAsia="仿宋_GB2312" w:cs="仿宋_GB2312"/>
          <w:b w:val="0"/>
          <w:bCs w:val="0"/>
          <w:color w:val="auto"/>
          <w:kern w:val="0"/>
          <w:sz w:val="32"/>
          <w:szCs w:val="32"/>
          <w:highlight w:val="none"/>
          <w:lang w:val="zh-CN" w:eastAsia="zh-CN" w:bidi="ar-SA"/>
        </w:rPr>
        <w:t>应对农村公路工程安全生产事故需求的，由</w:t>
      </w:r>
      <w:r>
        <w:rPr>
          <w:rFonts w:hint="eastAsia" w:ascii="仿宋_GB2312" w:hAnsi="仿宋_GB2312" w:eastAsia="仿宋_GB2312" w:cs="仿宋_GB2312"/>
          <w:b w:val="0"/>
          <w:bCs w:val="0"/>
          <w:color w:val="auto"/>
          <w:kern w:val="0"/>
          <w:sz w:val="32"/>
          <w:szCs w:val="32"/>
          <w:highlight w:val="none"/>
          <w:lang w:val="en-US" w:eastAsia="zh-CN" w:bidi="ar-SA"/>
        </w:rPr>
        <w:t>公路建设</w:t>
      </w:r>
      <w:r>
        <w:rPr>
          <w:rFonts w:hint="eastAsia" w:ascii="仿宋_GB2312" w:hAnsi="仿宋_GB2312" w:eastAsia="仿宋_GB2312" w:cs="仿宋_GB2312"/>
          <w:b w:val="0"/>
          <w:bCs w:val="0"/>
          <w:color w:val="auto"/>
          <w:kern w:val="0"/>
          <w:sz w:val="32"/>
          <w:szCs w:val="32"/>
          <w:highlight w:val="none"/>
          <w:lang w:val="zh-CN" w:eastAsia="zh-CN" w:bidi="ar-SA"/>
        </w:rPr>
        <w:t>办公室</w:t>
      </w:r>
      <w:r>
        <w:rPr>
          <w:rFonts w:hint="eastAsia" w:ascii="仿宋_GB2312" w:hAnsi="仿宋_GB2312" w:eastAsia="仿宋_GB2312" w:cs="仿宋_GB2312"/>
          <w:b w:val="0"/>
          <w:bCs w:val="0"/>
          <w:color w:val="auto"/>
          <w:kern w:val="0"/>
          <w:sz w:val="32"/>
          <w:szCs w:val="32"/>
          <w:highlight w:val="none"/>
          <w:lang w:val="en-US" w:eastAsia="zh-CN" w:bidi="ar-SA"/>
        </w:rPr>
        <w:t>负责综合协调工作，交通运输和地方公路事务中心具体负责</w:t>
      </w:r>
      <w:r>
        <w:rPr>
          <w:rFonts w:hint="eastAsia" w:ascii="仿宋_GB2312" w:hAnsi="仿宋_GB2312" w:eastAsia="仿宋_GB2312" w:cs="仿宋_GB2312"/>
          <w:b w:val="0"/>
          <w:bCs w:val="0"/>
          <w:color w:val="auto"/>
          <w:kern w:val="0"/>
          <w:sz w:val="32"/>
          <w:szCs w:val="32"/>
          <w:highlight w:val="none"/>
          <w:lang w:val="zh-CN" w:eastAsia="zh-CN" w:bidi="ar-SA"/>
        </w:rPr>
        <w:t>公路通行保障</w:t>
      </w:r>
      <w:r>
        <w:rPr>
          <w:rFonts w:hint="eastAsia" w:ascii="仿宋_GB2312" w:hAnsi="仿宋_GB2312" w:eastAsia="仿宋_GB2312" w:cs="仿宋_GB2312"/>
          <w:b w:val="0"/>
          <w:bCs w:val="0"/>
          <w:color w:val="auto"/>
          <w:kern w:val="0"/>
          <w:sz w:val="32"/>
          <w:szCs w:val="32"/>
          <w:highlight w:val="none"/>
          <w:lang w:val="en-US" w:eastAsia="zh-CN" w:bidi="ar-SA"/>
        </w:rPr>
        <w:t>的协调</w:t>
      </w:r>
      <w:r>
        <w:rPr>
          <w:rFonts w:hint="eastAsia" w:ascii="仿宋_GB2312" w:hAnsi="仿宋_GB2312" w:eastAsia="仿宋_GB2312" w:cs="仿宋_GB2312"/>
          <w:b w:val="0"/>
          <w:bCs w:val="0"/>
          <w:color w:val="auto"/>
          <w:kern w:val="0"/>
          <w:sz w:val="32"/>
          <w:szCs w:val="32"/>
          <w:highlight w:val="none"/>
          <w:lang w:val="zh-CN" w:eastAsia="zh-CN" w:bidi="ar-SA"/>
        </w:rPr>
        <w:t>工作。</w:t>
      </w:r>
      <w:bookmarkEnd w:id="308"/>
      <w:bookmarkEnd w:id="309"/>
      <w:bookmarkEnd w:id="310"/>
      <w:bookmarkEnd w:id="311"/>
      <w:bookmarkEnd w:id="312"/>
      <w:bookmarkEnd w:id="313"/>
      <w:bookmarkEnd w:id="314"/>
      <w:bookmarkEnd w:id="315"/>
      <w:bookmarkEnd w:id="316"/>
      <w:bookmarkEnd w:id="317"/>
      <w:bookmarkEnd w:id="318"/>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zh-CN" w:eastAsia="zh-CN" w:bidi="ar-SA"/>
        </w:rPr>
      </w:pPr>
      <w:bookmarkStart w:id="319" w:name="_Toc9166"/>
      <w:bookmarkStart w:id="320" w:name="_Toc27449"/>
      <w:bookmarkStart w:id="321" w:name="_Toc3167"/>
      <w:bookmarkStart w:id="322" w:name="_Toc23537"/>
      <w:bookmarkStart w:id="323" w:name="_Toc24974"/>
      <w:bookmarkStart w:id="324" w:name="_Toc21170"/>
      <w:bookmarkStart w:id="325" w:name="_Toc10469"/>
      <w:bookmarkStart w:id="326" w:name="_Toc14324"/>
      <w:bookmarkStart w:id="327" w:name="_Toc20246"/>
      <w:bookmarkStart w:id="328" w:name="_Toc6764"/>
      <w:bookmarkStart w:id="329" w:name="_Toc20478"/>
      <w:r>
        <w:rPr>
          <w:rFonts w:hint="eastAsia" w:ascii="仿宋_GB2312" w:hAnsi="仿宋_GB2312" w:eastAsia="仿宋_GB2312" w:cs="仿宋_GB2312"/>
          <w:b w:val="0"/>
          <w:bCs w:val="0"/>
          <w:color w:val="auto"/>
          <w:kern w:val="0"/>
          <w:sz w:val="32"/>
          <w:szCs w:val="32"/>
          <w:highlight w:val="none"/>
          <w:lang w:val="zh-CN" w:eastAsia="zh-CN" w:bidi="ar-SA"/>
        </w:rPr>
        <w:t>应包含主要措施：组织、协同相关救援救助力量抢救伤员，搜救被困和失踪人员；划定危险区域，实施现场控制；实施现场监测，采取措施消除次生事故诱因。协助属地政府做好善后维稳工作。依法参与事故调查工作，协助属地政府做好善后维稳工作。对大型滑坡、涌水、泥石流、有害有毒气体（隧道内）等应先有效消除或控制危险源后，再开展常规救援行动。涉及民爆物品及其他危险化学品的，应扩大现场控制范围，转移控制范围内人员，由专业力量进行处置，并确认危险源受控制或消除后，再开展常规救援行动。</w:t>
      </w:r>
      <w:bookmarkEnd w:id="319"/>
      <w:bookmarkEnd w:id="320"/>
      <w:bookmarkEnd w:id="321"/>
      <w:bookmarkEnd w:id="322"/>
      <w:bookmarkEnd w:id="323"/>
      <w:bookmarkEnd w:id="324"/>
      <w:bookmarkEnd w:id="325"/>
      <w:bookmarkEnd w:id="326"/>
      <w:bookmarkEnd w:id="327"/>
      <w:bookmarkEnd w:id="328"/>
      <w:bookmarkEnd w:id="329"/>
    </w:p>
    <w:p>
      <w:pPr>
        <w:bidi w:val="0"/>
        <w:ind w:firstLine="640" w:firstLineChars="200"/>
        <w:rPr>
          <w:rFonts w:hint="eastAsia" w:ascii="黑体" w:hAnsi="黑体" w:eastAsia="黑体" w:cs="宋体"/>
          <w:color w:val="auto"/>
          <w:kern w:val="0"/>
          <w:sz w:val="32"/>
          <w:szCs w:val="32"/>
          <w:highlight w:val="none"/>
          <w:lang w:val="zh-CN" w:eastAsia="zh-CN"/>
        </w:rPr>
      </w:pPr>
      <w:bookmarkStart w:id="330" w:name="_Toc17451"/>
      <w:bookmarkStart w:id="331" w:name="_Toc15643"/>
      <w:bookmarkStart w:id="332" w:name="_Toc629"/>
      <w:bookmarkStart w:id="333" w:name="_Toc17498"/>
      <w:bookmarkStart w:id="334" w:name="_Toc12751"/>
      <w:bookmarkStart w:id="335" w:name="_Toc10683"/>
      <w:bookmarkStart w:id="336" w:name="_Toc20457"/>
      <w:bookmarkStart w:id="337" w:name="_Toc31630"/>
      <w:bookmarkStart w:id="338" w:name="_Toc19903"/>
      <w:bookmarkStart w:id="339" w:name="_Toc28377"/>
      <w:bookmarkStart w:id="340" w:name="_Toc6630"/>
      <w:bookmarkStart w:id="341" w:name="_Toc1574"/>
      <w:bookmarkStart w:id="342" w:name="_Toc29874"/>
      <w:r>
        <w:rPr>
          <w:rFonts w:hint="eastAsia" w:ascii="黑体" w:hAnsi="黑体" w:eastAsia="黑体" w:cs="宋体"/>
          <w:color w:val="auto"/>
          <w:kern w:val="0"/>
          <w:sz w:val="32"/>
          <w:szCs w:val="32"/>
          <w:highlight w:val="none"/>
          <w:lang w:val="en-US" w:eastAsia="zh-CN"/>
        </w:rPr>
        <w:t>5</w:t>
      </w:r>
      <w:r>
        <w:rPr>
          <w:rFonts w:hint="eastAsia" w:ascii="黑体" w:hAnsi="黑体" w:eastAsia="黑体" w:cs="宋体"/>
          <w:color w:val="auto"/>
          <w:kern w:val="0"/>
          <w:sz w:val="32"/>
          <w:szCs w:val="32"/>
          <w:highlight w:val="none"/>
          <w:lang w:val="zh-CN" w:eastAsia="zh-CN"/>
        </w:rPr>
        <w:t>.</w:t>
      </w:r>
      <w:r>
        <w:rPr>
          <w:rFonts w:hint="eastAsia" w:ascii="黑体" w:hAnsi="黑体" w:eastAsia="黑体" w:cs="宋体"/>
          <w:color w:val="auto"/>
          <w:kern w:val="0"/>
          <w:sz w:val="32"/>
          <w:szCs w:val="32"/>
          <w:highlight w:val="none"/>
          <w:lang w:val="en-US" w:eastAsia="zh-CN"/>
        </w:rPr>
        <w:t>3</w:t>
      </w:r>
      <w:r>
        <w:rPr>
          <w:rFonts w:hint="eastAsia" w:ascii="黑体" w:hAnsi="黑体" w:eastAsia="黑体" w:cs="宋体"/>
          <w:color w:val="auto"/>
          <w:kern w:val="0"/>
          <w:sz w:val="32"/>
          <w:szCs w:val="32"/>
          <w:highlight w:val="none"/>
          <w:lang w:val="zh-CN" w:eastAsia="zh-CN"/>
        </w:rPr>
        <w:t>.</w:t>
      </w:r>
      <w:r>
        <w:rPr>
          <w:rFonts w:hint="eastAsia" w:ascii="黑体" w:hAnsi="黑体" w:eastAsia="黑体" w:cs="宋体"/>
          <w:color w:val="auto"/>
          <w:kern w:val="0"/>
          <w:sz w:val="32"/>
          <w:szCs w:val="32"/>
          <w:highlight w:val="none"/>
          <w:lang w:val="en-US" w:eastAsia="zh-CN"/>
        </w:rPr>
        <w:t>6</w:t>
      </w:r>
      <w:r>
        <w:rPr>
          <w:rFonts w:hint="eastAsia" w:ascii="黑体" w:hAnsi="黑体" w:eastAsia="黑体" w:cs="宋体"/>
          <w:color w:val="auto"/>
          <w:kern w:val="0"/>
          <w:sz w:val="32"/>
          <w:szCs w:val="32"/>
          <w:highlight w:val="none"/>
          <w:lang w:val="zh-CN" w:eastAsia="zh-CN"/>
        </w:rPr>
        <w:t>信访稳定事件</w:t>
      </w:r>
      <w:r>
        <w:rPr>
          <w:rFonts w:hint="eastAsia" w:ascii="黑体" w:hAnsi="黑体" w:eastAsia="黑体" w:cs="宋体"/>
          <w:color w:val="auto"/>
          <w:kern w:val="0"/>
          <w:sz w:val="32"/>
          <w:szCs w:val="32"/>
          <w:highlight w:val="none"/>
          <w:lang w:val="zh-CN" w:eastAsia="zh-CN" w:bidi="ar-SA"/>
        </w:rPr>
        <w:t>应急处置</w:t>
      </w:r>
      <w:bookmarkEnd w:id="330"/>
      <w:bookmarkEnd w:id="331"/>
      <w:bookmarkEnd w:id="332"/>
      <w:bookmarkEnd w:id="333"/>
      <w:bookmarkEnd w:id="334"/>
      <w:bookmarkEnd w:id="335"/>
      <w:bookmarkEnd w:id="336"/>
      <w:bookmarkEnd w:id="337"/>
      <w:bookmarkEnd w:id="338"/>
      <w:bookmarkEnd w:id="339"/>
      <w:bookmarkEnd w:id="340"/>
      <w:bookmarkEnd w:id="341"/>
      <w:bookmarkEnd w:id="342"/>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343" w:name="_Toc10272"/>
      <w:bookmarkStart w:id="344" w:name="_Toc8889"/>
      <w:bookmarkStart w:id="345" w:name="_Toc24202"/>
      <w:bookmarkStart w:id="346" w:name="_Toc26361"/>
      <w:bookmarkStart w:id="347" w:name="_Toc13969"/>
      <w:bookmarkStart w:id="348" w:name="_Toc5489"/>
      <w:bookmarkStart w:id="349" w:name="_Toc8463"/>
      <w:bookmarkStart w:id="350" w:name="_Toc645"/>
      <w:bookmarkStart w:id="351" w:name="_Toc15269"/>
      <w:bookmarkStart w:id="352" w:name="_Toc8013"/>
      <w:bookmarkStart w:id="353" w:name="_Toc12983"/>
      <w:r>
        <w:rPr>
          <w:rFonts w:hint="eastAsia" w:ascii="仿宋_GB2312" w:hAnsi="仿宋_GB2312" w:eastAsia="仿宋_GB2312" w:cs="仿宋_GB2312"/>
          <w:b w:val="0"/>
          <w:bCs w:val="0"/>
          <w:color w:val="auto"/>
          <w:kern w:val="0"/>
          <w:sz w:val="32"/>
          <w:szCs w:val="32"/>
          <w:highlight w:val="none"/>
          <w:lang w:val="zh-CN" w:eastAsia="zh-CN" w:bidi="ar-SA"/>
        </w:rPr>
        <w:t>应对来市交通运输局集体上访、异常上访事件，由</w:t>
      </w:r>
      <w:r>
        <w:rPr>
          <w:rFonts w:hint="eastAsia" w:ascii="仿宋_GB2312" w:hAnsi="仿宋_GB2312" w:eastAsia="仿宋_GB2312" w:cs="仿宋_GB2312"/>
          <w:b w:val="0"/>
          <w:bCs w:val="0"/>
          <w:color w:val="auto"/>
          <w:kern w:val="0"/>
          <w:sz w:val="32"/>
          <w:szCs w:val="32"/>
          <w:highlight w:val="none"/>
          <w:lang w:val="en-US" w:eastAsia="zh-CN" w:bidi="ar-SA"/>
        </w:rPr>
        <w:t>市交通运输局</w:t>
      </w:r>
      <w:r>
        <w:rPr>
          <w:rFonts w:hint="eastAsia" w:ascii="仿宋_GB2312" w:hAnsi="仿宋_GB2312" w:eastAsia="仿宋_GB2312" w:cs="仿宋_GB2312"/>
          <w:b w:val="0"/>
          <w:bCs w:val="0"/>
          <w:color w:val="auto"/>
          <w:kern w:val="0"/>
          <w:sz w:val="32"/>
          <w:szCs w:val="32"/>
          <w:highlight w:val="none"/>
          <w:lang w:val="zh-CN" w:eastAsia="zh-CN" w:bidi="ar-SA"/>
        </w:rPr>
        <w:t>牵头，局相关办公室公室等配合处置。</w:t>
      </w:r>
      <w:r>
        <w:rPr>
          <w:rFonts w:hint="eastAsia" w:ascii="仿宋_GB2312" w:hAnsi="仿宋_GB2312" w:eastAsia="仿宋_GB2312" w:cs="仿宋_GB2312"/>
          <w:b w:val="0"/>
          <w:bCs w:val="0"/>
          <w:color w:val="auto"/>
          <w:kern w:val="0"/>
          <w:sz w:val="32"/>
          <w:szCs w:val="32"/>
          <w:highlight w:val="none"/>
          <w:lang w:val="en-US" w:eastAsia="zh-CN" w:bidi="ar-SA"/>
        </w:rPr>
        <w:t>市交通运输局</w:t>
      </w:r>
      <w:r>
        <w:rPr>
          <w:rFonts w:hint="eastAsia" w:ascii="仿宋_GB2312" w:hAnsi="仿宋_GB2312" w:eastAsia="仿宋_GB2312" w:cs="仿宋_GB2312"/>
          <w:b w:val="0"/>
          <w:bCs w:val="0"/>
          <w:color w:val="auto"/>
          <w:kern w:val="0"/>
          <w:sz w:val="32"/>
          <w:szCs w:val="32"/>
          <w:highlight w:val="none"/>
          <w:lang w:val="zh-CN" w:eastAsia="zh-CN" w:bidi="ar-SA"/>
        </w:rPr>
        <w:t>办公室迅速将有关上访人员疏导到指定的接待场所接访。</w:t>
      </w:r>
      <w:bookmarkEnd w:id="343"/>
      <w:bookmarkEnd w:id="344"/>
      <w:bookmarkEnd w:id="345"/>
      <w:bookmarkEnd w:id="346"/>
      <w:bookmarkEnd w:id="347"/>
      <w:bookmarkEnd w:id="348"/>
      <w:bookmarkEnd w:id="349"/>
      <w:bookmarkEnd w:id="350"/>
      <w:bookmarkEnd w:id="351"/>
      <w:bookmarkEnd w:id="352"/>
      <w:bookmarkEnd w:id="353"/>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zh-CN" w:eastAsia="zh-CN" w:bidi="ar-SA"/>
        </w:rPr>
      </w:pPr>
      <w:bookmarkStart w:id="354" w:name="_Toc32229"/>
      <w:bookmarkStart w:id="355" w:name="_Toc7914"/>
      <w:bookmarkStart w:id="356" w:name="_Toc27691"/>
      <w:bookmarkStart w:id="357" w:name="_Toc26092"/>
      <w:bookmarkStart w:id="358" w:name="_Toc13737"/>
      <w:bookmarkStart w:id="359" w:name="_Toc7354"/>
      <w:bookmarkStart w:id="360" w:name="_Toc3537"/>
      <w:bookmarkStart w:id="361" w:name="_Toc27982"/>
      <w:bookmarkStart w:id="362" w:name="_Toc913"/>
      <w:bookmarkStart w:id="363" w:name="_Toc29001"/>
      <w:bookmarkStart w:id="364" w:name="_Toc25702"/>
      <w:r>
        <w:rPr>
          <w:rFonts w:hint="eastAsia" w:ascii="仿宋_GB2312" w:hAnsi="仿宋_GB2312" w:eastAsia="仿宋_GB2312" w:cs="仿宋_GB2312"/>
          <w:b w:val="0"/>
          <w:bCs w:val="0"/>
          <w:color w:val="auto"/>
          <w:kern w:val="0"/>
          <w:sz w:val="32"/>
          <w:szCs w:val="32"/>
          <w:highlight w:val="none"/>
          <w:lang w:val="zh-CN" w:eastAsia="zh-CN" w:bidi="ar-SA"/>
        </w:rPr>
        <w:t>应包含主要措施：根据现场情况，及时报市交通运输局有关分管领导，并通报局属有关办公室及有关涉事单位和部门。市分管局办公室对应依照有关法律法规，评估当事人诉求的合法性和合理性，给予认真的解释或解答。对情绪不稳定的来访人员，应采用疏导、劝阻的方法平息事态，防止矛盾激化。遇纠缠、吵闹等来访人员时，接访人员应迅速报告，会同有关部门及时处置。经引导、劝阻和教育无效时，应采取相应措施。不属于管辖范围的，应告知其有权管辖部门或单位。</w:t>
      </w:r>
      <w:bookmarkEnd w:id="354"/>
      <w:bookmarkEnd w:id="355"/>
      <w:bookmarkEnd w:id="356"/>
      <w:bookmarkEnd w:id="357"/>
      <w:bookmarkEnd w:id="358"/>
      <w:bookmarkEnd w:id="359"/>
      <w:bookmarkEnd w:id="360"/>
      <w:bookmarkEnd w:id="361"/>
      <w:bookmarkEnd w:id="362"/>
      <w:bookmarkEnd w:id="363"/>
      <w:bookmarkEnd w:id="364"/>
    </w:p>
    <w:p>
      <w:pPr>
        <w:bidi w:val="0"/>
        <w:ind w:firstLine="640" w:firstLineChars="200"/>
        <w:rPr>
          <w:rFonts w:hint="eastAsia" w:ascii="黑体" w:hAnsi="黑体" w:eastAsia="黑体" w:cs="宋体"/>
          <w:color w:val="auto"/>
          <w:kern w:val="0"/>
          <w:sz w:val="32"/>
          <w:szCs w:val="32"/>
          <w:highlight w:val="none"/>
          <w:lang w:val="zh-CN" w:eastAsia="zh-CN"/>
        </w:rPr>
      </w:pPr>
      <w:bookmarkStart w:id="365" w:name="_Toc23683"/>
      <w:bookmarkStart w:id="366" w:name="_Toc27782"/>
      <w:bookmarkStart w:id="367" w:name="_Toc5986"/>
      <w:bookmarkStart w:id="368" w:name="_Toc4835"/>
      <w:bookmarkStart w:id="369" w:name="_Toc31099"/>
      <w:bookmarkStart w:id="370" w:name="_Toc16664"/>
      <w:bookmarkStart w:id="371" w:name="_Toc17867"/>
      <w:bookmarkStart w:id="372" w:name="_Toc5128"/>
      <w:bookmarkStart w:id="373" w:name="_Toc17117"/>
      <w:bookmarkStart w:id="374" w:name="_Toc25953"/>
      <w:bookmarkStart w:id="375" w:name="_Toc20959"/>
      <w:bookmarkStart w:id="376" w:name="_Toc15367"/>
      <w:bookmarkStart w:id="377" w:name="_Toc18225"/>
      <w:r>
        <w:rPr>
          <w:rFonts w:hint="eastAsia" w:ascii="黑体" w:hAnsi="黑体" w:eastAsia="黑体" w:cs="宋体"/>
          <w:color w:val="auto"/>
          <w:kern w:val="0"/>
          <w:sz w:val="32"/>
          <w:szCs w:val="32"/>
          <w:highlight w:val="none"/>
          <w:lang w:val="en-US" w:eastAsia="zh-CN"/>
        </w:rPr>
        <w:t>5.3.7</w:t>
      </w:r>
      <w:r>
        <w:rPr>
          <w:rFonts w:hint="eastAsia" w:ascii="黑体" w:hAnsi="黑体" w:eastAsia="黑体" w:cs="宋体"/>
          <w:color w:val="auto"/>
          <w:kern w:val="0"/>
          <w:sz w:val="32"/>
          <w:szCs w:val="32"/>
          <w:highlight w:val="none"/>
          <w:lang w:val="zh-CN" w:eastAsia="zh-CN"/>
        </w:rPr>
        <w:t>消防突发事件应急处置</w:t>
      </w:r>
      <w:bookmarkEnd w:id="365"/>
      <w:bookmarkEnd w:id="366"/>
      <w:bookmarkEnd w:id="367"/>
      <w:bookmarkEnd w:id="368"/>
      <w:bookmarkEnd w:id="369"/>
      <w:bookmarkEnd w:id="370"/>
      <w:bookmarkEnd w:id="371"/>
      <w:bookmarkEnd w:id="372"/>
      <w:bookmarkEnd w:id="373"/>
      <w:bookmarkEnd w:id="374"/>
      <w:bookmarkEnd w:id="375"/>
      <w:bookmarkEnd w:id="376"/>
      <w:bookmarkEnd w:id="377"/>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378" w:name="_Toc19603"/>
      <w:bookmarkStart w:id="379" w:name="_Toc454"/>
      <w:bookmarkStart w:id="380" w:name="_Toc25047"/>
      <w:bookmarkStart w:id="381" w:name="_Toc8176"/>
      <w:bookmarkStart w:id="382" w:name="_Toc28768"/>
      <w:bookmarkStart w:id="383" w:name="_Toc7632"/>
      <w:bookmarkStart w:id="384" w:name="_Toc25649"/>
      <w:bookmarkStart w:id="385" w:name="_Toc20282"/>
      <w:bookmarkStart w:id="386" w:name="_Toc13061"/>
      <w:bookmarkStart w:id="387" w:name="_Toc26794"/>
      <w:bookmarkStart w:id="388" w:name="_Toc4204"/>
      <w:r>
        <w:rPr>
          <w:rFonts w:hint="eastAsia" w:ascii="仿宋_GB2312" w:hAnsi="仿宋_GB2312" w:eastAsia="仿宋_GB2312" w:cs="仿宋_GB2312"/>
          <w:b w:val="0"/>
          <w:bCs w:val="0"/>
          <w:color w:val="auto"/>
          <w:kern w:val="0"/>
          <w:sz w:val="32"/>
          <w:szCs w:val="32"/>
          <w:highlight w:val="none"/>
          <w:lang w:val="en-US" w:eastAsia="zh-CN" w:bidi="ar-SA"/>
        </w:rPr>
        <w:t>安全生产管理</w:t>
      </w:r>
      <w:r>
        <w:rPr>
          <w:rFonts w:hint="eastAsia" w:ascii="仿宋_GB2312" w:hAnsi="仿宋_GB2312" w:eastAsia="仿宋_GB2312" w:cs="仿宋_GB2312"/>
          <w:b w:val="0"/>
          <w:bCs w:val="0"/>
          <w:color w:val="auto"/>
          <w:kern w:val="0"/>
          <w:sz w:val="32"/>
          <w:szCs w:val="32"/>
          <w:highlight w:val="none"/>
          <w:lang w:val="zh-CN" w:eastAsia="zh-CN" w:bidi="ar-SA"/>
        </w:rPr>
        <w:t>办公室负责消防突发事件综合协调工作，具体负责局属单位消防突发事件应对指导、协调工作。</w:t>
      </w:r>
      <w:r>
        <w:rPr>
          <w:rFonts w:hint="eastAsia" w:ascii="仿宋_GB2312" w:hAnsi="仿宋_GB2312" w:eastAsia="仿宋_GB2312" w:cs="仿宋_GB2312"/>
          <w:b w:val="0"/>
          <w:bCs w:val="0"/>
          <w:color w:val="auto"/>
          <w:kern w:val="0"/>
          <w:sz w:val="32"/>
          <w:szCs w:val="32"/>
          <w:highlight w:val="none"/>
          <w:lang w:val="en-US" w:eastAsia="zh-CN" w:bidi="ar-SA"/>
        </w:rPr>
        <w:t>运输管理</w:t>
      </w:r>
      <w:r>
        <w:rPr>
          <w:rFonts w:hint="eastAsia" w:ascii="仿宋_GB2312" w:hAnsi="仿宋_GB2312" w:eastAsia="仿宋_GB2312" w:cs="仿宋_GB2312"/>
          <w:b w:val="0"/>
          <w:bCs w:val="0"/>
          <w:color w:val="auto"/>
          <w:kern w:val="0"/>
          <w:sz w:val="32"/>
          <w:szCs w:val="32"/>
          <w:highlight w:val="none"/>
          <w:lang w:val="zh-CN" w:eastAsia="zh-CN" w:bidi="ar-SA"/>
        </w:rPr>
        <w:t>办公室具体负责道路运输消防突发事件应对指导、协调工作。</w:t>
      </w:r>
      <w:bookmarkEnd w:id="378"/>
      <w:bookmarkEnd w:id="379"/>
      <w:bookmarkEnd w:id="380"/>
      <w:bookmarkEnd w:id="381"/>
      <w:bookmarkEnd w:id="382"/>
      <w:bookmarkEnd w:id="383"/>
      <w:bookmarkEnd w:id="384"/>
      <w:bookmarkEnd w:id="385"/>
      <w:bookmarkEnd w:id="386"/>
      <w:bookmarkEnd w:id="387"/>
      <w:bookmarkEnd w:id="388"/>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389" w:name="_Toc7651"/>
      <w:bookmarkStart w:id="390" w:name="_Toc26983"/>
      <w:bookmarkStart w:id="391" w:name="_Toc15037"/>
      <w:bookmarkStart w:id="392" w:name="_Toc10038"/>
      <w:bookmarkStart w:id="393" w:name="_Toc23610"/>
      <w:bookmarkStart w:id="394" w:name="_Toc27660"/>
      <w:bookmarkStart w:id="395" w:name="_Toc9999"/>
      <w:bookmarkStart w:id="396" w:name="_Toc11381"/>
      <w:bookmarkStart w:id="397" w:name="_Toc25093"/>
      <w:bookmarkStart w:id="398" w:name="_Toc5458"/>
      <w:bookmarkStart w:id="399" w:name="_Toc26051"/>
      <w:r>
        <w:rPr>
          <w:rFonts w:hint="eastAsia" w:ascii="仿宋_GB2312" w:hAnsi="仿宋_GB2312" w:eastAsia="仿宋_GB2312" w:cs="仿宋_GB2312"/>
          <w:b w:val="0"/>
          <w:bCs w:val="0"/>
          <w:color w:val="auto"/>
          <w:kern w:val="0"/>
          <w:sz w:val="32"/>
          <w:szCs w:val="32"/>
          <w:highlight w:val="none"/>
          <w:lang w:val="zh-CN" w:eastAsia="zh-CN" w:bidi="ar-SA"/>
        </w:rPr>
        <w:t>应包含主要措施：做好消防突发事件信息收集汇总、上报工作，并配合公安、消防等部门做好安全警戒、交通管制，及时开辟应急救援通道。</w:t>
      </w:r>
      <w:bookmarkEnd w:id="389"/>
      <w:bookmarkEnd w:id="390"/>
      <w:bookmarkEnd w:id="391"/>
      <w:bookmarkEnd w:id="392"/>
      <w:bookmarkEnd w:id="393"/>
      <w:bookmarkEnd w:id="394"/>
      <w:bookmarkEnd w:id="395"/>
      <w:bookmarkEnd w:id="396"/>
      <w:bookmarkEnd w:id="397"/>
      <w:bookmarkEnd w:id="398"/>
      <w:bookmarkEnd w:id="399"/>
      <w:bookmarkStart w:id="400" w:name="_Toc30172"/>
    </w:p>
    <w:p>
      <w:pPr>
        <w:bidi w:val="0"/>
        <w:ind w:firstLine="640" w:firstLineChars="200"/>
        <w:rPr>
          <w:rFonts w:hint="eastAsia" w:ascii="黑体" w:hAnsi="黑体" w:eastAsia="黑体" w:cs="宋体"/>
          <w:color w:val="auto"/>
          <w:kern w:val="0"/>
          <w:sz w:val="32"/>
          <w:szCs w:val="32"/>
          <w:highlight w:val="none"/>
          <w:lang w:val="en-US" w:eastAsia="zh-CN"/>
        </w:rPr>
      </w:pPr>
      <w:bookmarkStart w:id="401" w:name="_Toc9575"/>
      <w:bookmarkStart w:id="402" w:name="_Toc25585"/>
      <w:bookmarkStart w:id="403" w:name="_Toc16980"/>
      <w:bookmarkStart w:id="404" w:name="_Toc22188"/>
      <w:bookmarkStart w:id="405" w:name="_Toc19997"/>
      <w:bookmarkStart w:id="406" w:name="_Toc4523"/>
      <w:bookmarkStart w:id="407" w:name="_Toc20335"/>
      <w:bookmarkStart w:id="408" w:name="_Toc6801"/>
      <w:bookmarkStart w:id="409" w:name="_Toc14079"/>
      <w:bookmarkStart w:id="410" w:name="_Toc25533"/>
      <w:bookmarkStart w:id="411" w:name="_Toc10295"/>
      <w:bookmarkStart w:id="412" w:name="_Toc27392"/>
      <w:r>
        <w:rPr>
          <w:rFonts w:hint="eastAsia" w:ascii="黑体" w:hAnsi="黑体" w:eastAsia="黑体" w:cs="宋体"/>
          <w:color w:val="auto"/>
          <w:kern w:val="0"/>
          <w:sz w:val="32"/>
          <w:szCs w:val="32"/>
          <w:highlight w:val="none"/>
          <w:lang w:val="en-US" w:eastAsia="zh-CN"/>
        </w:rPr>
        <w:t>5.3.7极端暴力突发事件应急处置</w:t>
      </w:r>
      <w:bookmarkEnd w:id="400"/>
      <w:bookmarkEnd w:id="401"/>
      <w:bookmarkEnd w:id="402"/>
      <w:bookmarkEnd w:id="403"/>
      <w:bookmarkEnd w:id="404"/>
      <w:bookmarkEnd w:id="405"/>
      <w:bookmarkEnd w:id="406"/>
      <w:bookmarkEnd w:id="407"/>
      <w:bookmarkEnd w:id="408"/>
      <w:bookmarkEnd w:id="409"/>
      <w:bookmarkEnd w:id="410"/>
      <w:bookmarkEnd w:id="411"/>
      <w:bookmarkEnd w:id="412"/>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应对车站、经营性客货运车辆遭受恐怖袭击或极端暴力袭击事件，由</w:t>
      </w:r>
      <w:r>
        <w:rPr>
          <w:rFonts w:hint="eastAsia" w:ascii="仿宋_GB2312" w:hAnsi="仿宋_GB2312" w:eastAsia="仿宋_GB2312" w:cs="仿宋_GB2312"/>
          <w:b w:val="0"/>
          <w:bCs w:val="0"/>
          <w:color w:val="auto"/>
          <w:kern w:val="0"/>
          <w:sz w:val="32"/>
          <w:szCs w:val="32"/>
          <w:highlight w:val="none"/>
          <w:lang w:val="en-US" w:eastAsia="zh-CN" w:bidi="ar-SA"/>
        </w:rPr>
        <w:t>安全生产管理</w:t>
      </w:r>
      <w:r>
        <w:rPr>
          <w:rFonts w:hint="eastAsia" w:ascii="仿宋_GB2312" w:hAnsi="仿宋_GB2312" w:eastAsia="仿宋_GB2312" w:cs="仿宋_GB2312"/>
          <w:b w:val="0"/>
          <w:bCs w:val="0"/>
          <w:color w:val="auto"/>
          <w:kern w:val="0"/>
          <w:sz w:val="32"/>
          <w:szCs w:val="32"/>
          <w:highlight w:val="none"/>
          <w:lang w:val="zh-CN" w:eastAsia="zh-CN" w:bidi="ar-SA"/>
        </w:rPr>
        <w:t>办公室牵头，局相关办公室公室配合。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应包含主要措施：加强与市公安局的沟通联络，配合地方公安部门开展应急处置工作，视情参与处置工作。做好突发事件信息收集汇总、上报以及有关信息发布和舆论引导工作。</w:t>
      </w:r>
    </w:p>
    <w:p>
      <w:pPr>
        <w:pStyle w:val="2"/>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color w:val="auto"/>
          <w:sz w:val="32"/>
          <w:szCs w:val="32"/>
          <w:highlight w:val="none"/>
          <w:lang w:val="zh-CN" w:eastAsia="zh-CN"/>
        </w:rPr>
      </w:pPr>
      <w:bookmarkStart w:id="413" w:name="_Toc23748"/>
      <w:bookmarkStart w:id="414" w:name="_Toc3904"/>
      <w:bookmarkStart w:id="415" w:name="_Toc26905"/>
      <w:r>
        <w:rPr>
          <w:rFonts w:hint="eastAsia" w:ascii="黑体" w:hAnsi="黑体" w:eastAsia="黑体" w:cs="黑体"/>
          <w:b w:val="0"/>
          <w:bCs/>
          <w:color w:val="auto"/>
          <w:sz w:val="32"/>
          <w:szCs w:val="32"/>
          <w:highlight w:val="none"/>
          <w:lang w:val="en-US" w:eastAsia="zh-CN"/>
        </w:rPr>
        <w:t>5</w:t>
      </w:r>
      <w:r>
        <w:rPr>
          <w:rFonts w:hint="eastAsia" w:ascii="黑体" w:hAnsi="黑体" w:eastAsia="黑体" w:cs="黑体"/>
          <w:b w:val="0"/>
          <w:bCs/>
          <w:color w:val="auto"/>
          <w:sz w:val="32"/>
          <w:szCs w:val="32"/>
          <w:highlight w:val="none"/>
          <w:lang w:val="zh-CN" w:eastAsia="zh-CN"/>
        </w:rPr>
        <w:t>.</w:t>
      </w:r>
      <w:r>
        <w:rPr>
          <w:rFonts w:hint="eastAsia" w:ascii="黑体" w:hAnsi="黑体" w:eastAsia="黑体" w:cs="黑体"/>
          <w:b w:val="0"/>
          <w:bCs/>
          <w:color w:val="auto"/>
          <w:sz w:val="32"/>
          <w:szCs w:val="32"/>
          <w:highlight w:val="none"/>
          <w:lang w:val="en-US" w:eastAsia="zh-CN"/>
        </w:rPr>
        <w:t>4</w:t>
      </w:r>
      <w:r>
        <w:rPr>
          <w:rFonts w:hint="eastAsia" w:ascii="黑体" w:hAnsi="黑体" w:eastAsia="黑体" w:cs="黑体"/>
          <w:b w:val="0"/>
          <w:bCs/>
          <w:color w:val="auto"/>
          <w:sz w:val="32"/>
          <w:szCs w:val="32"/>
          <w:highlight w:val="none"/>
          <w:lang w:val="zh-CN" w:eastAsia="zh-CN"/>
        </w:rPr>
        <w:t>应急人员安全防护</w:t>
      </w:r>
      <w:bookmarkEnd w:id="413"/>
      <w:bookmarkEnd w:id="414"/>
      <w:bookmarkEnd w:id="415"/>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416" w:name="_Toc16326"/>
      <w:bookmarkStart w:id="417" w:name="_Toc30615"/>
      <w:bookmarkStart w:id="418" w:name="_Toc25346"/>
      <w:bookmarkStart w:id="419" w:name="_Toc28118"/>
      <w:bookmarkStart w:id="420" w:name="_Toc10213"/>
      <w:bookmarkStart w:id="421" w:name="_Toc7194"/>
      <w:bookmarkStart w:id="422" w:name="_Toc20717"/>
      <w:bookmarkStart w:id="423" w:name="_Toc5058"/>
      <w:bookmarkStart w:id="424" w:name="_Toc7060"/>
      <w:bookmarkStart w:id="425" w:name="_Toc25246"/>
      <w:bookmarkStart w:id="426" w:name="_Toc4176"/>
      <w:r>
        <w:rPr>
          <w:rFonts w:hint="eastAsia" w:ascii="仿宋_GB2312" w:hAnsi="仿宋_GB2312" w:eastAsia="仿宋_GB2312" w:cs="仿宋_GB2312"/>
          <w:b w:val="0"/>
          <w:bCs w:val="0"/>
          <w:color w:val="auto"/>
          <w:kern w:val="0"/>
          <w:sz w:val="32"/>
          <w:szCs w:val="32"/>
          <w:highlight w:val="none"/>
          <w:lang w:val="zh-CN" w:eastAsia="zh-CN" w:bidi="ar-SA"/>
        </w:rPr>
        <w:t>进入有危险的现场，应制定专项作业计划，并经现场指挥部批准；应急人员应采取防护措施，使用相关防护装备，严格控制作业人员数量和单批次作业时间；连续监控作业人员情况，一旦出现有可能危及人员安全的情况，应立即撤离。</w:t>
      </w:r>
      <w:bookmarkEnd w:id="416"/>
      <w:bookmarkEnd w:id="417"/>
      <w:bookmarkEnd w:id="418"/>
      <w:bookmarkEnd w:id="419"/>
      <w:bookmarkEnd w:id="420"/>
      <w:bookmarkEnd w:id="421"/>
      <w:bookmarkEnd w:id="422"/>
      <w:bookmarkEnd w:id="423"/>
      <w:bookmarkEnd w:id="424"/>
      <w:bookmarkEnd w:id="425"/>
      <w:bookmarkEnd w:id="426"/>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427" w:name="_Toc18657"/>
      <w:bookmarkStart w:id="428" w:name="_Toc28469"/>
      <w:bookmarkStart w:id="429" w:name="_Toc24355"/>
      <w:bookmarkStart w:id="430" w:name="_Toc1759"/>
      <w:bookmarkStart w:id="431" w:name="_Toc14838"/>
      <w:bookmarkStart w:id="432" w:name="_Toc4538"/>
      <w:bookmarkStart w:id="433" w:name="_Toc3466"/>
      <w:bookmarkStart w:id="434" w:name="_Toc18406"/>
      <w:bookmarkStart w:id="435" w:name="_Toc22587"/>
      <w:bookmarkStart w:id="436" w:name="_Toc20292"/>
      <w:bookmarkStart w:id="437" w:name="_Toc16689"/>
      <w:r>
        <w:rPr>
          <w:rFonts w:hint="eastAsia" w:ascii="仿宋_GB2312" w:hAnsi="仿宋_GB2312" w:eastAsia="仿宋_GB2312" w:cs="仿宋_GB2312"/>
          <w:b w:val="0"/>
          <w:bCs w:val="0"/>
          <w:color w:val="auto"/>
          <w:kern w:val="0"/>
          <w:sz w:val="32"/>
          <w:szCs w:val="32"/>
          <w:highlight w:val="none"/>
          <w:lang w:val="zh-CN" w:eastAsia="zh-CN" w:bidi="ar-SA"/>
        </w:rPr>
        <w:t>进入危险化学品事故现场，还应根据危险化学品品类及性质使用专用防护装备；对从危险区离开的所有人员进行检查和清污，并按规定进行医学检测和观察。</w:t>
      </w:r>
      <w:bookmarkEnd w:id="427"/>
      <w:bookmarkEnd w:id="428"/>
      <w:bookmarkEnd w:id="429"/>
      <w:bookmarkEnd w:id="430"/>
      <w:bookmarkEnd w:id="431"/>
      <w:bookmarkEnd w:id="432"/>
      <w:bookmarkEnd w:id="433"/>
      <w:bookmarkEnd w:id="434"/>
      <w:bookmarkEnd w:id="435"/>
      <w:bookmarkEnd w:id="436"/>
      <w:bookmarkEnd w:id="437"/>
    </w:p>
    <w:p>
      <w:pPr>
        <w:pStyle w:val="2"/>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color w:val="auto"/>
          <w:sz w:val="32"/>
          <w:szCs w:val="32"/>
          <w:highlight w:val="none"/>
          <w:lang w:val="zh-CN" w:eastAsia="zh-CN"/>
        </w:rPr>
      </w:pPr>
      <w:bookmarkStart w:id="438" w:name="_Toc32384"/>
      <w:bookmarkStart w:id="439" w:name="_Toc3103"/>
      <w:bookmarkStart w:id="440" w:name="_Toc18841"/>
      <w:r>
        <w:rPr>
          <w:rFonts w:hint="eastAsia" w:ascii="黑体" w:hAnsi="黑体" w:eastAsia="黑体" w:cs="黑体"/>
          <w:b w:val="0"/>
          <w:bCs/>
          <w:color w:val="auto"/>
          <w:sz w:val="32"/>
          <w:szCs w:val="32"/>
          <w:highlight w:val="none"/>
          <w:lang w:val="en-US" w:eastAsia="zh-CN"/>
        </w:rPr>
        <w:t>5</w:t>
      </w:r>
      <w:r>
        <w:rPr>
          <w:rFonts w:hint="eastAsia" w:ascii="黑体" w:hAnsi="黑体" w:eastAsia="黑体" w:cs="黑体"/>
          <w:b w:val="0"/>
          <w:bCs/>
          <w:color w:val="auto"/>
          <w:sz w:val="32"/>
          <w:szCs w:val="32"/>
          <w:highlight w:val="none"/>
          <w:lang w:val="zh-CN" w:eastAsia="zh-CN"/>
        </w:rPr>
        <w:t>.</w:t>
      </w:r>
      <w:r>
        <w:rPr>
          <w:rFonts w:hint="eastAsia" w:ascii="黑体" w:hAnsi="黑体" w:eastAsia="黑体" w:cs="黑体"/>
          <w:b w:val="0"/>
          <w:bCs/>
          <w:color w:val="auto"/>
          <w:sz w:val="32"/>
          <w:szCs w:val="32"/>
          <w:highlight w:val="none"/>
          <w:lang w:val="en-US" w:eastAsia="zh-CN"/>
        </w:rPr>
        <w:t>5</w:t>
      </w:r>
      <w:r>
        <w:rPr>
          <w:rFonts w:hint="eastAsia" w:ascii="黑体" w:hAnsi="黑体" w:eastAsia="黑体" w:cs="黑体"/>
          <w:b w:val="0"/>
          <w:bCs/>
          <w:color w:val="auto"/>
          <w:sz w:val="32"/>
          <w:szCs w:val="32"/>
          <w:highlight w:val="none"/>
          <w:lang w:val="zh-CN" w:eastAsia="zh-CN"/>
        </w:rPr>
        <w:t>应急结束</w:t>
      </w:r>
      <w:bookmarkEnd w:id="438"/>
      <w:bookmarkEnd w:id="439"/>
      <w:bookmarkEnd w:id="440"/>
    </w:p>
    <w:p>
      <w:pPr>
        <w:bidi w:val="0"/>
        <w:ind w:firstLine="643" w:firstLineChars="200"/>
        <w:rPr>
          <w:rFonts w:hint="eastAsia" w:ascii="仿宋_GB2312" w:hAnsi="仿宋_GB2312" w:eastAsia="仿宋_GB2312" w:cs="仿宋_GB2312"/>
          <w:b/>
          <w:bCs/>
          <w:color w:val="auto"/>
          <w:kern w:val="0"/>
          <w:sz w:val="32"/>
          <w:szCs w:val="32"/>
          <w:highlight w:val="none"/>
          <w:lang w:val="zh-CN" w:eastAsia="zh-CN"/>
        </w:rPr>
      </w:pPr>
      <w:bookmarkStart w:id="441" w:name="_Toc10496"/>
      <w:bookmarkStart w:id="442" w:name="_Toc23779"/>
      <w:bookmarkStart w:id="443" w:name="_Toc656"/>
      <w:bookmarkStart w:id="444" w:name="_Toc20025"/>
      <w:bookmarkStart w:id="445" w:name="_Toc4562"/>
      <w:bookmarkStart w:id="446" w:name="_Toc356"/>
      <w:bookmarkStart w:id="447" w:name="_Toc316"/>
      <w:bookmarkStart w:id="448" w:name="_Toc27904"/>
      <w:bookmarkStart w:id="449" w:name="_Toc12305"/>
      <w:bookmarkStart w:id="450" w:name="_Toc10865"/>
      <w:bookmarkStart w:id="451" w:name="_Toc11864"/>
      <w:bookmarkStart w:id="452" w:name="_Toc5418"/>
      <w:bookmarkStart w:id="453" w:name="_Toc27812"/>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lang w:val="zh-CN" w:eastAsia="zh-CN"/>
        </w:rPr>
        <w:t>.</w:t>
      </w:r>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lang w:val="zh-CN" w:eastAsia="zh-CN"/>
        </w:rPr>
        <w:t>.1符合以下情况，可以结束应急响应</w:t>
      </w:r>
      <w:bookmarkEnd w:id="441"/>
      <w:bookmarkEnd w:id="442"/>
      <w:bookmarkEnd w:id="443"/>
      <w:bookmarkEnd w:id="444"/>
      <w:bookmarkEnd w:id="445"/>
      <w:bookmarkEnd w:id="446"/>
      <w:bookmarkEnd w:id="447"/>
      <w:bookmarkEnd w:id="448"/>
      <w:bookmarkEnd w:id="449"/>
      <w:bookmarkEnd w:id="450"/>
      <w:bookmarkEnd w:id="451"/>
      <w:bookmarkEnd w:id="452"/>
      <w:bookmarkEnd w:id="453"/>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454" w:name="_Toc5095"/>
      <w:bookmarkStart w:id="455" w:name="_Toc6365"/>
      <w:bookmarkStart w:id="456" w:name="_Toc19925"/>
      <w:bookmarkStart w:id="457" w:name="_Toc22303"/>
      <w:bookmarkStart w:id="458" w:name="_Toc7853"/>
      <w:bookmarkStart w:id="459" w:name="_Toc23601"/>
      <w:bookmarkStart w:id="460" w:name="_Toc13168"/>
      <w:bookmarkStart w:id="461" w:name="_Toc24891"/>
      <w:bookmarkStart w:id="462" w:name="_Toc30081"/>
      <w:bookmarkStart w:id="463" w:name="_Toc7795"/>
      <w:bookmarkStart w:id="464" w:name="_Toc6363"/>
      <w:r>
        <w:rPr>
          <w:rFonts w:hint="eastAsia" w:ascii="仿宋_GB2312" w:hAnsi="仿宋_GB2312" w:eastAsia="仿宋_GB2312" w:cs="仿宋_GB2312"/>
          <w:b w:val="0"/>
          <w:bCs w:val="0"/>
          <w:color w:val="auto"/>
          <w:kern w:val="0"/>
          <w:sz w:val="32"/>
          <w:szCs w:val="32"/>
          <w:highlight w:val="none"/>
          <w:lang w:val="zh-CN" w:eastAsia="zh-CN" w:bidi="ar-SA"/>
        </w:rPr>
        <w:t>（1）交通运输突发事件及其危险源已得到控制，危害已消除；</w:t>
      </w:r>
      <w:bookmarkEnd w:id="454"/>
      <w:bookmarkEnd w:id="455"/>
      <w:bookmarkEnd w:id="456"/>
      <w:bookmarkEnd w:id="457"/>
      <w:bookmarkEnd w:id="458"/>
      <w:bookmarkEnd w:id="459"/>
      <w:bookmarkEnd w:id="460"/>
      <w:bookmarkEnd w:id="461"/>
      <w:bookmarkEnd w:id="462"/>
      <w:bookmarkEnd w:id="463"/>
      <w:bookmarkEnd w:id="464"/>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465" w:name="_Toc11316"/>
      <w:bookmarkStart w:id="466" w:name="_Toc23985"/>
      <w:bookmarkStart w:id="467" w:name="_Toc873"/>
      <w:bookmarkStart w:id="468" w:name="_Toc32017"/>
      <w:bookmarkStart w:id="469" w:name="_Toc7266"/>
      <w:bookmarkStart w:id="470" w:name="_Toc17816"/>
      <w:bookmarkStart w:id="471" w:name="_Toc5744"/>
      <w:bookmarkStart w:id="472" w:name="_Toc6348"/>
      <w:bookmarkStart w:id="473" w:name="_Toc1532"/>
      <w:bookmarkStart w:id="474" w:name="_Toc19464"/>
      <w:bookmarkStart w:id="475" w:name="_Toc12238"/>
      <w:r>
        <w:rPr>
          <w:rFonts w:hint="eastAsia" w:ascii="仿宋_GB2312" w:hAnsi="仿宋_GB2312" w:eastAsia="仿宋_GB2312" w:cs="仿宋_GB2312"/>
          <w:b w:val="0"/>
          <w:bCs w:val="0"/>
          <w:color w:val="auto"/>
          <w:kern w:val="0"/>
          <w:sz w:val="32"/>
          <w:szCs w:val="32"/>
          <w:highlight w:val="none"/>
          <w:lang w:val="zh-CN" w:eastAsia="zh-CN" w:bidi="ar-SA"/>
        </w:rPr>
        <w:t>（2）对周边地区构成的威胁已排除；</w:t>
      </w:r>
      <w:bookmarkEnd w:id="465"/>
      <w:bookmarkEnd w:id="466"/>
      <w:bookmarkEnd w:id="467"/>
      <w:bookmarkEnd w:id="468"/>
      <w:bookmarkEnd w:id="469"/>
      <w:bookmarkEnd w:id="470"/>
      <w:bookmarkEnd w:id="471"/>
      <w:bookmarkEnd w:id="472"/>
      <w:bookmarkEnd w:id="473"/>
      <w:bookmarkEnd w:id="474"/>
      <w:bookmarkEnd w:id="475"/>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476" w:name="_Toc207"/>
      <w:bookmarkStart w:id="477" w:name="_Toc9799"/>
      <w:bookmarkStart w:id="478" w:name="_Toc10182"/>
      <w:bookmarkStart w:id="479" w:name="_Toc7567"/>
      <w:bookmarkStart w:id="480" w:name="_Toc8657"/>
      <w:bookmarkStart w:id="481" w:name="_Toc23742"/>
      <w:bookmarkStart w:id="482" w:name="_Toc3320"/>
      <w:bookmarkStart w:id="483" w:name="_Toc19179"/>
      <w:bookmarkStart w:id="484" w:name="_Toc30823"/>
      <w:bookmarkStart w:id="485" w:name="_Toc24901"/>
      <w:bookmarkStart w:id="486" w:name="_Toc7899"/>
      <w:r>
        <w:rPr>
          <w:rFonts w:hint="eastAsia" w:ascii="仿宋_GB2312" w:hAnsi="仿宋_GB2312" w:eastAsia="仿宋_GB2312" w:cs="仿宋_GB2312"/>
          <w:b w:val="0"/>
          <w:bCs w:val="0"/>
          <w:color w:val="auto"/>
          <w:kern w:val="0"/>
          <w:sz w:val="32"/>
          <w:szCs w:val="32"/>
          <w:highlight w:val="none"/>
          <w:lang w:val="zh-CN" w:eastAsia="zh-CN" w:bidi="ar-SA"/>
        </w:rPr>
        <w:t>（3）现场处置工作结束。</w:t>
      </w:r>
      <w:bookmarkEnd w:id="476"/>
      <w:bookmarkEnd w:id="477"/>
      <w:bookmarkEnd w:id="478"/>
      <w:bookmarkEnd w:id="479"/>
      <w:bookmarkEnd w:id="480"/>
      <w:bookmarkEnd w:id="481"/>
      <w:bookmarkEnd w:id="482"/>
      <w:bookmarkEnd w:id="483"/>
      <w:bookmarkEnd w:id="484"/>
      <w:bookmarkEnd w:id="485"/>
      <w:bookmarkEnd w:id="486"/>
    </w:p>
    <w:p>
      <w:pPr>
        <w:bidi w:val="0"/>
        <w:ind w:firstLine="643" w:firstLineChars="200"/>
        <w:rPr>
          <w:rFonts w:hint="eastAsia" w:ascii="仿宋_GB2312" w:hAnsi="仿宋_GB2312" w:eastAsia="仿宋_GB2312" w:cs="仿宋_GB2312"/>
          <w:b/>
          <w:bCs/>
          <w:color w:val="auto"/>
          <w:kern w:val="0"/>
          <w:sz w:val="32"/>
          <w:szCs w:val="32"/>
          <w:highlight w:val="none"/>
          <w:lang w:val="zh-CN" w:eastAsia="zh-CN"/>
        </w:rPr>
      </w:pPr>
      <w:bookmarkStart w:id="487" w:name="_Toc7130"/>
      <w:bookmarkStart w:id="488" w:name="_Toc16741"/>
      <w:bookmarkStart w:id="489" w:name="_Toc24600"/>
      <w:bookmarkStart w:id="490" w:name="_Toc15111"/>
      <w:bookmarkStart w:id="491" w:name="_Toc7324"/>
      <w:bookmarkStart w:id="492" w:name="_Toc30857"/>
      <w:bookmarkStart w:id="493" w:name="_Toc22168"/>
      <w:bookmarkStart w:id="494" w:name="_Toc22142"/>
      <w:bookmarkStart w:id="495" w:name="_Toc25513"/>
      <w:bookmarkStart w:id="496" w:name="_Toc32429"/>
      <w:bookmarkStart w:id="497" w:name="_Toc27209"/>
      <w:bookmarkStart w:id="498" w:name="_Toc24135"/>
      <w:bookmarkStart w:id="499" w:name="_Toc12331"/>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lang w:val="zh-CN" w:eastAsia="zh-CN"/>
        </w:rPr>
        <w:t>.</w:t>
      </w:r>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lang w:val="zh-CN" w:eastAsia="zh-CN"/>
        </w:rPr>
        <w:t>.2应急结束决定程序</w:t>
      </w:r>
      <w:bookmarkEnd w:id="487"/>
      <w:bookmarkEnd w:id="488"/>
      <w:bookmarkEnd w:id="489"/>
      <w:bookmarkEnd w:id="490"/>
      <w:bookmarkEnd w:id="491"/>
      <w:bookmarkEnd w:id="492"/>
      <w:bookmarkEnd w:id="493"/>
      <w:bookmarkEnd w:id="494"/>
      <w:bookmarkEnd w:id="495"/>
      <w:bookmarkEnd w:id="496"/>
      <w:bookmarkEnd w:id="497"/>
      <w:bookmarkEnd w:id="498"/>
      <w:bookmarkEnd w:id="499"/>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500" w:name="_Toc24159"/>
      <w:bookmarkStart w:id="501" w:name="_Toc20340"/>
      <w:bookmarkStart w:id="502" w:name="_Toc19341"/>
      <w:bookmarkStart w:id="503" w:name="_Toc11511"/>
      <w:bookmarkStart w:id="504" w:name="_Toc4897"/>
      <w:bookmarkStart w:id="505" w:name="_Toc8312"/>
      <w:bookmarkStart w:id="506" w:name="_Toc15574"/>
      <w:bookmarkStart w:id="507" w:name="_Toc29413"/>
      <w:bookmarkStart w:id="508" w:name="_Toc25963"/>
      <w:bookmarkStart w:id="509" w:name="_Toc2883"/>
      <w:bookmarkStart w:id="510" w:name="_Toc18557"/>
      <w:r>
        <w:rPr>
          <w:rFonts w:hint="eastAsia" w:ascii="仿宋_GB2312" w:hAnsi="仿宋_GB2312" w:eastAsia="仿宋_GB2312" w:cs="仿宋_GB2312"/>
          <w:b w:val="0"/>
          <w:bCs w:val="0"/>
          <w:color w:val="auto"/>
          <w:kern w:val="0"/>
          <w:sz w:val="32"/>
          <w:szCs w:val="32"/>
          <w:highlight w:val="none"/>
          <w:lang w:val="zh-CN" w:eastAsia="zh-CN" w:bidi="ar-SA"/>
        </w:rPr>
        <w:t>（1）现场指挥部根据实际情况，向市交通运输局</w:t>
      </w:r>
      <w:r>
        <w:rPr>
          <w:rFonts w:hint="eastAsia" w:ascii="仿宋_GB2312" w:hAnsi="仿宋_GB2312" w:eastAsia="仿宋_GB2312" w:cs="仿宋_GB2312"/>
          <w:b w:val="0"/>
          <w:bCs w:val="0"/>
          <w:color w:val="auto"/>
          <w:kern w:val="0"/>
          <w:sz w:val="32"/>
          <w:szCs w:val="32"/>
          <w:highlight w:val="none"/>
          <w:lang w:val="en-US" w:eastAsia="zh-CN" w:bidi="ar-SA"/>
        </w:rPr>
        <w:t>应急领导机构</w:t>
      </w:r>
      <w:r>
        <w:rPr>
          <w:rFonts w:hint="eastAsia" w:ascii="仿宋_GB2312" w:hAnsi="仿宋_GB2312" w:eastAsia="仿宋_GB2312" w:cs="仿宋_GB2312"/>
          <w:b w:val="0"/>
          <w:bCs w:val="0"/>
          <w:color w:val="auto"/>
          <w:kern w:val="0"/>
          <w:sz w:val="32"/>
          <w:szCs w:val="32"/>
          <w:highlight w:val="none"/>
          <w:lang w:val="zh-CN" w:eastAsia="zh-CN" w:bidi="ar-SA"/>
        </w:rPr>
        <w:t>提出结束应急响应的建议；</w:t>
      </w:r>
      <w:bookmarkEnd w:id="500"/>
      <w:bookmarkEnd w:id="501"/>
      <w:bookmarkEnd w:id="502"/>
      <w:bookmarkEnd w:id="503"/>
      <w:bookmarkEnd w:id="504"/>
      <w:bookmarkEnd w:id="505"/>
      <w:bookmarkEnd w:id="506"/>
      <w:bookmarkEnd w:id="507"/>
      <w:bookmarkEnd w:id="508"/>
      <w:bookmarkEnd w:id="509"/>
      <w:bookmarkEnd w:id="51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511" w:name="_Toc8843"/>
      <w:bookmarkStart w:id="512" w:name="_Toc19469"/>
      <w:bookmarkStart w:id="513" w:name="_Toc16640"/>
      <w:bookmarkStart w:id="514" w:name="_Toc29594"/>
      <w:bookmarkStart w:id="515" w:name="_Toc15831"/>
      <w:bookmarkStart w:id="516" w:name="_Toc7028"/>
      <w:bookmarkStart w:id="517" w:name="_Toc14594"/>
      <w:bookmarkStart w:id="518" w:name="_Toc14168"/>
      <w:bookmarkStart w:id="519" w:name="_Toc81"/>
      <w:bookmarkStart w:id="520" w:name="_Toc16038"/>
      <w:bookmarkStart w:id="521" w:name="_Toc3241"/>
      <w:r>
        <w:rPr>
          <w:rFonts w:hint="eastAsia" w:ascii="仿宋_GB2312" w:hAnsi="仿宋_GB2312" w:eastAsia="仿宋_GB2312" w:cs="仿宋_GB2312"/>
          <w:b w:val="0"/>
          <w:bCs w:val="0"/>
          <w:color w:val="auto"/>
          <w:kern w:val="0"/>
          <w:sz w:val="32"/>
          <w:szCs w:val="32"/>
          <w:highlight w:val="none"/>
          <w:lang w:val="zh-CN" w:eastAsia="zh-CN" w:bidi="ar-SA"/>
        </w:rPr>
        <w:t>（2）市交通运输局</w:t>
      </w:r>
      <w:r>
        <w:rPr>
          <w:rFonts w:hint="eastAsia" w:ascii="仿宋_GB2312" w:hAnsi="仿宋_GB2312" w:eastAsia="仿宋_GB2312" w:cs="仿宋_GB2312"/>
          <w:b w:val="0"/>
          <w:bCs w:val="0"/>
          <w:color w:val="auto"/>
          <w:kern w:val="0"/>
          <w:sz w:val="32"/>
          <w:szCs w:val="32"/>
          <w:highlight w:val="none"/>
          <w:lang w:val="en-US" w:eastAsia="zh-CN" w:bidi="ar-SA"/>
        </w:rPr>
        <w:t>应急领导机构</w:t>
      </w:r>
      <w:r>
        <w:rPr>
          <w:rFonts w:hint="eastAsia" w:ascii="仿宋_GB2312" w:hAnsi="仿宋_GB2312" w:eastAsia="仿宋_GB2312" w:cs="仿宋_GB2312"/>
          <w:b w:val="0"/>
          <w:bCs w:val="0"/>
          <w:color w:val="auto"/>
          <w:kern w:val="0"/>
          <w:sz w:val="32"/>
          <w:szCs w:val="32"/>
          <w:highlight w:val="none"/>
          <w:lang w:val="zh-CN" w:eastAsia="zh-CN" w:bidi="ar-SA"/>
        </w:rPr>
        <w:t>根据本预案及相关规定，做出决定；</w:t>
      </w:r>
      <w:bookmarkEnd w:id="511"/>
      <w:bookmarkEnd w:id="512"/>
      <w:bookmarkEnd w:id="513"/>
      <w:bookmarkEnd w:id="514"/>
      <w:bookmarkEnd w:id="515"/>
      <w:bookmarkEnd w:id="516"/>
      <w:bookmarkEnd w:id="517"/>
      <w:bookmarkEnd w:id="518"/>
      <w:bookmarkEnd w:id="519"/>
      <w:bookmarkEnd w:id="520"/>
      <w:bookmarkEnd w:id="521"/>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522" w:name="_Toc25943"/>
      <w:bookmarkStart w:id="523" w:name="_Toc15676"/>
      <w:bookmarkStart w:id="524" w:name="_Toc31799"/>
      <w:bookmarkStart w:id="525" w:name="_Toc20716"/>
      <w:bookmarkStart w:id="526" w:name="_Toc25781"/>
      <w:bookmarkStart w:id="527" w:name="_Toc20981"/>
      <w:bookmarkStart w:id="528" w:name="_Toc18219"/>
      <w:bookmarkStart w:id="529" w:name="_Toc19915"/>
      <w:bookmarkStart w:id="530" w:name="_Toc843"/>
      <w:bookmarkStart w:id="531" w:name="_Toc17857"/>
      <w:bookmarkStart w:id="532" w:name="_Toc2139"/>
      <w:r>
        <w:rPr>
          <w:rFonts w:hint="eastAsia" w:ascii="仿宋_GB2312" w:hAnsi="仿宋_GB2312" w:eastAsia="仿宋_GB2312" w:cs="仿宋_GB2312"/>
          <w:b w:val="0"/>
          <w:bCs w:val="0"/>
          <w:color w:val="auto"/>
          <w:kern w:val="0"/>
          <w:sz w:val="32"/>
          <w:szCs w:val="32"/>
          <w:highlight w:val="none"/>
          <w:lang w:val="zh-CN" w:eastAsia="zh-CN" w:bidi="ar-SA"/>
        </w:rPr>
        <w:t>（3）决定结束后，由市交通运输局应急办制定结束命令，由</w:t>
      </w:r>
      <w:r>
        <w:rPr>
          <w:rFonts w:hint="eastAsia" w:ascii="仿宋_GB2312" w:hAnsi="仿宋_GB2312" w:eastAsia="仿宋_GB2312" w:cs="仿宋_GB2312"/>
          <w:b w:val="0"/>
          <w:bCs w:val="0"/>
          <w:color w:val="auto"/>
          <w:kern w:val="0"/>
          <w:sz w:val="32"/>
          <w:szCs w:val="32"/>
          <w:highlight w:val="none"/>
          <w:lang w:val="en-US" w:eastAsia="zh-CN" w:bidi="ar-SA"/>
        </w:rPr>
        <w:t>市交通运输局</w:t>
      </w:r>
      <w:r>
        <w:rPr>
          <w:rFonts w:hint="eastAsia" w:ascii="仿宋_GB2312" w:hAnsi="仿宋_GB2312" w:eastAsia="仿宋_GB2312" w:cs="仿宋_GB2312"/>
          <w:b w:val="0"/>
          <w:bCs w:val="0"/>
          <w:color w:val="auto"/>
          <w:kern w:val="0"/>
          <w:sz w:val="32"/>
          <w:szCs w:val="32"/>
          <w:highlight w:val="none"/>
          <w:lang w:val="zh-CN" w:eastAsia="zh-CN" w:bidi="ar-SA"/>
        </w:rPr>
        <w:t>局办公室中心发布。</w:t>
      </w:r>
      <w:bookmarkEnd w:id="522"/>
      <w:bookmarkEnd w:id="523"/>
      <w:bookmarkEnd w:id="524"/>
      <w:bookmarkEnd w:id="525"/>
      <w:bookmarkEnd w:id="526"/>
      <w:bookmarkEnd w:id="527"/>
      <w:bookmarkEnd w:id="528"/>
      <w:bookmarkEnd w:id="529"/>
      <w:bookmarkEnd w:id="530"/>
      <w:bookmarkEnd w:id="531"/>
      <w:bookmarkEnd w:id="532"/>
    </w:p>
    <w:p>
      <w:pPr>
        <w:pStyle w:val="2"/>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color w:val="auto"/>
          <w:sz w:val="32"/>
          <w:szCs w:val="32"/>
          <w:highlight w:val="none"/>
          <w:lang w:val="en-US" w:eastAsia="zh-CN"/>
        </w:rPr>
      </w:pPr>
      <w:bookmarkStart w:id="533" w:name="_Toc26470"/>
      <w:bookmarkStart w:id="534" w:name="_Toc5810"/>
      <w:bookmarkStart w:id="535" w:name="_Toc31517"/>
      <w:r>
        <w:rPr>
          <w:rFonts w:hint="eastAsia" w:ascii="黑体" w:hAnsi="黑体" w:eastAsia="黑体" w:cs="黑体"/>
          <w:b w:val="0"/>
          <w:bCs/>
          <w:color w:val="auto"/>
          <w:sz w:val="32"/>
          <w:szCs w:val="32"/>
          <w:highlight w:val="none"/>
          <w:lang w:val="en-US" w:eastAsia="zh-CN"/>
        </w:rPr>
        <w:t>6.后期处置</w:t>
      </w:r>
      <w:bookmarkEnd w:id="533"/>
      <w:bookmarkEnd w:id="534"/>
      <w:bookmarkEnd w:id="535"/>
    </w:p>
    <w:p>
      <w:pPr>
        <w:pStyle w:val="2"/>
        <w:pageBreakBefore w:val="0"/>
        <w:kinsoku/>
        <w:wordWrap/>
        <w:overflowPunct/>
        <w:topLinePunct w:val="0"/>
        <w:autoSpaceDE/>
        <w:autoSpaceDN/>
        <w:bidi w:val="0"/>
        <w:snapToGrid/>
        <w:spacing w:line="600" w:lineRule="exact"/>
        <w:ind w:firstLine="640" w:firstLineChars="200"/>
        <w:textAlignment w:val="auto"/>
        <w:outlineLvl w:val="1"/>
        <w:rPr>
          <w:rFonts w:hint="eastAsia" w:ascii="黑体" w:hAnsi="黑体" w:eastAsia="黑体" w:cs="黑体"/>
          <w:b w:val="0"/>
          <w:bCs/>
          <w:color w:val="auto"/>
          <w:sz w:val="32"/>
          <w:szCs w:val="32"/>
          <w:highlight w:val="none"/>
          <w:lang w:val="en-US" w:eastAsia="zh-CN"/>
        </w:rPr>
      </w:pPr>
      <w:bookmarkStart w:id="536" w:name="_Toc257820101"/>
      <w:bookmarkEnd w:id="536"/>
      <w:bookmarkStart w:id="537" w:name="_Toc21800"/>
      <w:bookmarkStart w:id="538" w:name="_Toc32119"/>
      <w:bookmarkStart w:id="539" w:name="_Toc20050"/>
      <w:bookmarkStart w:id="540" w:name="_Toc52211178"/>
      <w:r>
        <w:rPr>
          <w:rFonts w:hint="eastAsia" w:ascii="黑体" w:hAnsi="黑体" w:eastAsia="黑体" w:cs="黑体"/>
          <w:b w:val="0"/>
          <w:bCs/>
          <w:color w:val="auto"/>
          <w:sz w:val="32"/>
          <w:szCs w:val="32"/>
          <w:highlight w:val="none"/>
          <w:lang w:val="en-US" w:eastAsia="zh-CN"/>
        </w:rPr>
        <w:t>6.1善后处置</w:t>
      </w:r>
      <w:bookmarkEnd w:id="537"/>
      <w:bookmarkEnd w:id="538"/>
      <w:bookmarkEnd w:id="539"/>
    </w:p>
    <w:p>
      <w:pPr>
        <w:bidi w:val="0"/>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6.1.1</w:t>
      </w:r>
      <w:r>
        <w:rPr>
          <w:rFonts w:hint="eastAsia" w:ascii="仿宋_GB2312" w:hAnsi="仿宋_GB2312" w:eastAsia="仿宋_GB2312" w:cs="仿宋_GB2312"/>
          <w:b/>
          <w:bCs/>
          <w:sz w:val="32"/>
          <w:szCs w:val="32"/>
          <w:highlight w:val="none"/>
        </w:rPr>
        <w:t>抚恤和补助</w:t>
      </w:r>
      <w:bookmarkEnd w:id="54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事发地交通运输主管部门配合属地政府，对参加应急处置的有关人员按照有关规定给予补助；对因参与应急处理工作致病、致残、死亡的人员，按照国家有关规定，给予相应的补助和抚恤。</w:t>
      </w:r>
      <w:bookmarkStart w:id="541" w:name="_Toc257820102"/>
      <w:bookmarkEnd w:id="541"/>
      <w:bookmarkStart w:id="542" w:name="_Toc52211179"/>
    </w:p>
    <w:p>
      <w:pPr>
        <w:bidi w:val="0"/>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6.1.</w:t>
      </w:r>
      <w:r>
        <w:rPr>
          <w:rFonts w:hint="eastAsia" w:ascii="仿宋_GB2312" w:hAnsi="仿宋_GB2312" w:eastAsia="仿宋_GB2312" w:cs="仿宋_GB2312"/>
          <w:b/>
          <w:bCs/>
          <w:sz w:val="32"/>
          <w:szCs w:val="32"/>
          <w:highlight w:val="none"/>
        </w:rPr>
        <w:t>2救援救助</w:t>
      </w:r>
      <w:bookmarkEnd w:id="542"/>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市交通运输局负责抗灾救灾人员、物资的公路运输组织，为运送救灾物资车辆办理免费通行手续，协调提供转移灾民所需的交通工具；配合当地民政部门及时组织救灾物资、生活必需品和社会捐赠物品的运输保障。</w:t>
      </w:r>
      <w:bookmarkStart w:id="543" w:name="_Toc257820103"/>
      <w:bookmarkEnd w:id="543"/>
      <w:bookmarkStart w:id="544" w:name="_Toc52211180"/>
    </w:p>
    <w:p>
      <w:pPr>
        <w:bidi w:val="0"/>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6.1</w:t>
      </w:r>
      <w:r>
        <w:rPr>
          <w:rFonts w:hint="eastAsia" w:ascii="仿宋_GB2312" w:hAnsi="仿宋_GB2312" w:eastAsia="仿宋_GB2312" w:cs="仿宋_GB2312"/>
          <w:b/>
          <w:bCs/>
          <w:sz w:val="32"/>
          <w:szCs w:val="32"/>
          <w:highlight w:val="none"/>
        </w:rPr>
        <w:t>.3奖励</w:t>
      </w:r>
      <w:bookmarkEnd w:id="544"/>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zh-CN" w:eastAsia="zh-CN" w:bidi="ar-SA"/>
        </w:rPr>
        <w:t>应急响应终止后，市交通运输局应组织对参加突发事件应急处置过程中，做出贡献的先进集体和个人进行通报表扬。</w:t>
      </w:r>
    </w:p>
    <w:p>
      <w:pPr>
        <w:pStyle w:val="2"/>
        <w:pageBreakBefore w:val="0"/>
        <w:kinsoku/>
        <w:wordWrap/>
        <w:overflowPunct/>
        <w:topLinePunct w:val="0"/>
        <w:autoSpaceDE/>
        <w:autoSpaceDN/>
        <w:bidi w:val="0"/>
        <w:snapToGrid/>
        <w:spacing w:line="600" w:lineRule="exact"/>
        <w:ind w:firstLine="640" w:firstLineChars="200"/>
        <w:textAlignment w:val="auto"/>
        <w:outlineLvl w:val="1"/>
        <w:rPr>
          <w:rFonts w:hint="eastAsia" w:ascii="黑体" w:hAnsi="黑体" w:eastAsia="黑体" w:cs="黑体"/>
          <w:b w:val="0"/>
          <w:bCs/>
          <w:color w:val="auto"/>
          <w:sz w:val="32"/>
          <w:szCs w:val="32"/>
          <w:highlight w:val="none"/>
          <w:lang w:val="zh-CN" w:eastAsia="zh-CN"/>
        </w:rPr>
      </w:pPr>
      <w:bookmarkStart w:id="545" w:name="_Toc2628"/>
      <w:bookmarkStart w:id="546" w:name="_Toc5841"/>
      <w:bookmarkStart w:id="547" w:name="_Toc1843"/>
      <w:r>
        <w:rPr>
          <w:rFonts w:hint="eastAsia" w:ascii="黑体" w:hAnsi="黑体" w:eastAsia="黑体" w:cs="黑体"/>
          <w:b w:val="0"/>
          <w:bCs/>
          <w:color w:val="auto"/>
          <w:sz w:val="32"/>
          <w:szCs w:val="32"/>
          <w:highlight w:val="none"/>
          <w:lang w:val="en-US" w:eastAsia="zh-CN"/>
        </w:rPr>
        <w:t>6.2</w:t>
      </w:r>
      <w:r>
        <w:rPr>
          <w:rFonts w:hint="eastAsia" w:ascii="黑体" w:hAnsi="黑体" w:eastAsia="黑体" w:cs="黑体"/>
          <w:b w:val="0"/>
          <w:bCs/>
          <w:color w:val="auto"/>
          <w:sz w:val="32"/>
          <w:szCs w:val="32"/>
          <w:highlight w:val="none"/>
          <w:lang w:val="zh-CN" w:eastAsia="zh-CN"/>
        </w:rPr>
        <w:t>评估</w:t>
      </w:r>
      <w:bookmarkEnd w:id="545"/>
      <w:bookmarkEnd w:id="546"/>
      <w:bookmarkEnd w:id="547"/>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548" w:name="_Toc10698"/>
      <w:bookmarkStart w:id="549" w:name="_Toc3742"/>
      <w:bookmarkStart w:id="550" w:name="_Toc21159"/>
      <w:bookmarkStart w:id="551" w:name="_Toc8354"/>
      <w:bookmarkStart w:id="552" w:name="_Toc18028"/>
      <w:bookmarkStart w:id="553" w:name="_Toc26735"/>
      <w:bookmarkStart w:id="554" w:name="_Toc31512"/>
      <w:bookmarkStart w:id="555" w:name="_Toc14520"/>
      <w:bookmarkStart w:id="556" w:name="_Toc24587"/>
      <w:bookmarkStart w:id="557" w:name="_Toc28565"/>
      <w:bookmarkStart w:id="558" w:name="_Toc24904"/>
      <w:r>
        <w:rPr>
          <w:rFonts w:hint="eastAsia" w:ascii="仿宋_GB2312" w:hAnsi="仿宋_GB2312" w:eastAsia="仿宋_GB2312" w:cs="仿宋_GB2312"/>
          <w:b w:val="0"/>
          <w:bCs w:val="0"/>
          <w:color w:val="auto"/>
          <w:kern w:val="0"/>
          <w:sz w:val="32"/>
          <w:szCs w:val="32"/>
          <w:highlight w:val="none"/>
          <w:lang w:val="zh-CN" w:eastAsia="zh-CN" w:bidi="ar-SA"/>
        </w:rPr>
        <w:t>应急结束后，市交通运输局应急办组织专家、相关现场处置单位及人员开展评估，并在30个工作日内形成评估报告报市交通运输应急领导机构，为事后恢复、灾后重建、预案修订等工作提供依据，也为防止类似事件再次发生提供警示和处置经验。</w:t>
      </w:r>
      <w:bookmarkEnd w:id="548"/>
      <w:bookmarkEnd w:id="549"/>
      <w:bookmarkEnd w:id="550"/>
      <w:bookmarkEnd w:id="551"/>
      <w:bookmarkEnd w:id="552"/>
      <w:bookmarkEnd w:id="553"/>
      <w:bookmarkEnd w:id="554"/>
      <w:bookmarkEnd w:id="555"/>
      <w:bookmarkEnd w:id="556"/>
      <w:bookmarkEnd w:id="557"/>
      <w:bookmarkEnd w:id="558"/>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559" w:name="_Toc22876"/>
      <w:bookmarkStart w:id="560" w:name="_Toc7047"/>
      <w:bookmarkStart w:id="561" w:name="_Toc22306"/>
      <w:bookmarkStart w:id="562" w:name="_Toc17491"/>
      <w:bookmarkStart w:id="563" w:name="_Toc31905"/>
      <w:bookmarkStart w:id="564" w:name="_Toc24571"/>
      <w:bookmarkStart w:id="565" w:name="_Toc12279"/>
      <w:bookmarkStart w:id="566" w:name="_Toc3882"/>
      <w:bookmarkStart w:id="567" w:name="_Toc28170"/>
      <w:bookmarkStart w:id="568" w:name="_Toc3590"/>
      <w:bookmarkStart w:id="569" w:name="_Toc603"/>
      <w:r>
        <w:rPr>
          <w:rFonts w:hint="eastAsia" w:ascii="仿宋_GB2312" w:hAnsi="仿宋_GB2312" w:eastAsia="仿宋_GB2312" w:cs="仿宋_GB2312"/>
          <w:b w:val="0"/>
          <w:bCs w:val="0"/>
          <w:color w:val="auto"/>
          <w:kern w:val="0"/>
          <w:sz w:val="32"/>
          <w:szCs w:val="32"/>
          <w:highlight w:val="none"/>
          <w:lang w:val="zh-CN" w:eastAsia="zh-CN" w:bidi="ar-SA"/>
        </w:rPr>
        <w:t>评估内容主要应包括：事件和应急进程，投入人员及装备情况，损失情况，物资装备消耗情况，处置措施及其效果，存在的问题、改进建议等。</w:t>
      </w:r>
      <w:bookmarkEnd w:id="559"/>
      <w:bookmarkEnd w:id="560"/>
      <w:bookmarkEnd w:id="561"/>
      <w:bookmarkEnd w:id="562"/>
      <w:bookmarkEnd w:id="563"/>
      <w:bookmarkEnd w:id="564"/>
      <w:bookmarkEnd w:id="565"/>
      <w:bookmarkEnd w:id="566"/>
      <w:bookmarkEnd w:id="567"/>
      <w:bookmarkEnd w:id="568"/>
      <w:bookmarkEnd w:id="569"/>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zh-CN" w:eastAsia="zh-CN" w:bidi="ar-SA"/>
        </w:rPr>
      </w:pPr>
      <w:bookmarkStart w:id="570" w:name="_Toc32591"/>
      <w:bookmarkStart w:id="571" w:name="_Toc31536"/>
      <w:bookmarkStart w:id="572" w:name="_Toc1910"/>
      <w:bookmarkStart w:id="573" w:name="_Toc560"/>
      <w:bookmarkStart w:id="574" w:name="_Toc30547"/>
      <w:bookmarkStart w:id="575" w:name="_Toc28008"/>
      <w:bookmarkStart w:id="576" w:name="_Toc25575"/>
      <w:bookmarkStart w:id="577" w:name="_Toc30864"/>
      <w:bookmarkStart w:id="578" w:name="_Toc26549"/>
      <w:bookmarkStart w:id="579" w:name="_Toc29643"/>
      <w:bookmarkStart w:id="580" w:name="_Toc23550"/>
      <w:r>
        <w:rPr>
          <w:rFonts w:hint="eastAsia" w:ascii="仿宋_GB2312" w:hAnsi="仿宋_GB2312" w:eastAsia="仿宋_GB2312" w:cs="仿宋_GB2312"/>
          <w:b w:val="0"/>
          <w:bCs w:val="0"/>
          <w:color w:val="auto"/>
          <w:kern w:val="0"/>
          <w:sz w:val="32"/>
          <w:szCs w:val="32"/>
          <w:highlight w:val="none"/>
          <w:lang w:val="zh-CN" w:eastAsia="zh-CN" w:bidi="ar-SA"/>
        </w:rPr>
        <w:t>各单位负责本级处置的交通运输突发事件的评估工作，并在评估报告确定后7个工作日内报市交通运输局应急办。</w:t>
      </w:r>
      <w:bookmarkEnd w:id="570"/>
      <w:bookmarkEnd w:id="571"/>
      <w:bookmarkEnd w:id="572"/>
      <w:bookmarkEnd w:id="573"/>
      <w:bookmarkEnd w:id="574"/>
      <w:bookmarkEnd w:id="575"/>
      <w:bookmarkEnd w:id="576"/>
      <w:bookmarkEnd w:id="577"/>
      <w:bookmarkEnd w:id="578"/>
      <w:bookmarkEnd w:id="579"/>
      <w:bookmarkEnd w:id="580"/>
    </w:p>
    <w:p>
      <w:pPr>
        <w:pStyle w:val="2"/>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color w:val="auto"/>
          <w:sz w:val="32"/>
          <w:szCs w:val="32"/>
          <w:highlight w:val="none"/>
          <w:lang w:val="en-US" w:eastAsia="zh-CN"/>
        </w:rPr>
      </w:pPr>
      <w:bookmarkStart w:id="581" w:name="_Toc16125"/>
      <w:bookmarkStart w:id="582" w:name="_Toc15127"/>
      <w:bookmarkStart w:id="583" w:name="_Toc31287"/>
      <w:bookmarkStart w:id="584" w:name="_Toc52211182"/>
      <w:r>
        <w:rPr>
          <w:rFonts w:hint="eastAsia" w:ascii="黑体" w:hAnsi="黑体" w:eastAsia="黑体" w:cs="黑体"/>
          <w:b w:val="0"/>
          <w:bCs/>
          <w:color w:val="auto"/>
          <w:sz w:val="32"/>
          <w:szCs w:val="32"/>
          <w:highlight w:val="none"/>
          <w:lang w:val="en-US" w:eastAsia="zh-CN"/>
        </w:rPr>
        <w:t>6.3补偿</w:t>
      </w:r>
      <w:bookmarkEnd w:id="581"/>
      <w:bookmarkEnd w:id="582"/>
      <w:bookmarkEnd w:id="583"/>
      <w:bookmarkEnd w:id="584"/>
    </w:p>
    <w:p>
      <w:pPr>
        <w:bidi w:val="0"/>
        <w:ind w:firstLine="643" w:firstLineChars="200"/>
        <w:rPr>
          <w:rFonts w:hint="eastAsia" w:ascii="仿宋_GB2312" w:hAnsi="仿宋_GB2312" w:eastAsia="仿宋_GB2312" w:cs="仿宋_GB2312"/>
          <w:b/>
          <w:bCs/>
          <w:sz w:val="32"/>
          <w:szCs w:val="32"/>
          <w:highlight w:val="none"/>
          <w:lang w:val="en-US" w:eastAsia="zh-CN"/>
        </w:rPr>
      </w:pPr>
      <w:bookmarkStart w:id="585" w:name="_Toc257820106"/>
      <w:bookmarkEnd w:id="585"/>
      <w:bookmarkStart w:id="586" w:name="_Toc15107"/>
      <w:bookmarkStart w:id="587" w:name="_Toc19846"/>
      <w:bookmarkStart w:id="588" w:name="_Toc15419"/>
      <w:bookmarkStart w:id="589" w:name="_Toc18783"/>
      <w:bookmarkStart w:id="590" w:name="_Toc24500"/>
      <w:bookmarkStart w:id="591" w:name="_Toc5567"/>
      <w:bookmarkStart w:id="592" w:name="_Toc29289"/>
      <w:bookmarkStart w:id="593" w:name="_Toc7639"/>
      <w:bookmarkStart w:id="594" w:name="_Toc2886"/>
      <w:bookmarkStart w:id="595" w:name="_Toc22090"/>
      <w:bookmarkStart w:id="596" w:name="_Toc28669"/>
      <w:bookmarkStart w:id="597" w:name="_Toc29139"/>
      <w:bookmarkStart w:id="598" w:name="_Toc52211183"/>
      <w:bookmarkStart w:id="599" w:name="_Toc24082"/>
      <w:r>
        <w:rPr>
          <w:rFonts w:hint="eastAsia" w:ascii="仿宋_GB2312" w:hAnsi="仿宋_GB2312" w:eastAsia="仿宋_GB2312" w:cs="仿宋_GB2312"/>
          <w:b/>
          <w:bCs/>
          <w:sz w:val="32"/>
          <w:szCs w:val="32"/>
          <w:highlight w:val="none"/>
          <w:lang w:val="en-US" w:eastAsia="zh-CN"/>
        </w:rPr>
        <w:t>6.3.1市交通运输应急物资储备的补偿</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bidi w:val="0"/>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在由市交通运输局负责协</w:t>
      </w:r>
      <w:r>
        <w:rPr>
          <w:rFonts w:hint="eastAsia" w:ascii="仿宋_GB2312" w:hAnsi="仿宋_GB2312" w:eastAsia="仿宋_GB2312" w:cs="仿宋_GB2312"/>
          <w:color w:val="auto"/>
          <w:sz w:val="32"/>
          <w:szCs w:val="32"/>
          <w:highlight w:val="none"/>
          <w:lang w:val="zh-CN" w:eastAsia="zh-CN"/>
        </w:rPr>
        <w:t>调处置的Ⅲ级突发事件和经市交通运输局审批同意的其他应急事件中调拨使用市交通运输应急物资储备，采取“无偿使用”原则，对可回收重复使用的应急储备物资由交通运输局负责回收、清洗、消毒和整理，由代储单位清点后入库。损耗、损毁的物资由市交通运输局负责协调补充。其他等级突发事件应急调拨使用市交通运输应急物资储备的按照“谁征用，谁补偿”的</w:t>
      </w:r>
      <w:r>
        <w:rPr>
          <w:rFonts w:hint="eastAsia" w:ascii="仿宋_GB2312" w:hAnsi="仿宋_GB2312" w:eastAsia="仿宋_GB2312" w:cs="仿宋_GB2312"/>
          <w:color w:val="auto"/>
          <w:sz w:val="32"/>
          <w:szCs w:val="32"/>
          <w:highlight w:val="none"/>
          <w:lang w:val="en-US" w:eastAsia="zh-CN"/>
        </w:rPr>
        <w:t>原则，根据有关规定进行行政性征用补偿。</w:t>
      </w:r>
      <w:bookmarkStart w:id="600" w:name="_Toc257820107"/>
      <w:bookmarkEnd w:id="600"/>
      <w:bookmarkStart w:id="601" w:name="_Toc52211184"/>
    </w:p>
    <w:p>
      <w:pPr>
        <w:bidi w:val="0"/>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6.3.2其他应急物资征用补偿</w:t>
      </w:r>
      <w:bookmarkEnd w:id="601"/>
    </w:p>
    <w:p>
      <w:pPr>
        <w:bidi w:val="0"/>
        <w:ind w:firstLine="640" w:firstLineChars="200"/>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交通运输应急响应保障行动结束后，由被征用单位（人）向征用交通运输局递交</w:t>
      </w:r>
      <w:r>
        <w:rPr>
          <w:rFonts w:hint="eastAsia" w:ascii="仿宋_GB2312" w:hAnsi="仿宋_GB2312" w:eastAsia="仿宋_GB2312" w:cs="仿宋_GB2312"/>
          <w:color w:val="auto"/>
          <w:sz w:val="32"/>
          <w:szCs w:val="32"/>
          <w:highlight w:val="none"/>
          <w:lang w:val="zh-CN" w:eastAsia="zh-CN"/>
        </w:rPr>
        <w:t>应急征用补偿申请书。交通运输局接到补偿申请后，结合有关征用记录和事后调查评估的情况，对补偿申请予以审核，或报财政部门审核通过后，发出应急征用补偿通知单，并按有关规定予以补偿。</w:t>
      </w:r>
    </w:p>
    <w:p>
      <w:pPr>
        <w:bidi w:val="0"/>
        <w:ind w:firstLine="640" w:firstLineChars="200"/>
        <w:rPr>
          <w:rFonts w:hint="eastAsia" w:ascii="仿宋_GB2312" w:hAnsi="仿宋_GB2312" w:eastAsia="仿宋_GB2312" w:cs="仿宋_GB2312"/>
          <w:color w:val="auto"/>
          <w:sz w:val="32"/>
          <w:szCs w:val="32"/>
          <w:highlight w:val="none"/>
          <w:lang w:val="zh-CN" w:eastAsia="zh-CN"/>
        </w:rPr>
      </w:pPr>
      <w:bookmarkStart w:id="602" w:name="_Toc9101"/>
      <w:bookmarkStart w:id="603" w:name="_Toc15093"/>
      <w:bookmarkStart w:id="604" w:name="_Toc8620"/>
      <w:bookmarkStart w:id="605" w:name="_Toc20052"/>
      <w:bookmarkStart w:id="606" w:name="_Toc14274"/>
      <w:bookmarkStart w:id="607" w:name="_Toc25148"/>
      <w:bookmarkStart w:id="608" w:name="_Toc22810"/>
      <w:bookmarkStart w:id="609" w:name="_Toc3213"/>
      <w:bookmarkStart w:id="610" w:name="_Toc21057"/>
      <w:bookmarkStart w:id="611" w:name="_Toc30540"/>
      <w:r>
        <w:rPr>
          <w:rFonts w:hint="eastAsia" w:ascii="仿宋_GB2312" w:hAnsi="仿宋_GB2312" w:eastAsia="仿宋_GB2312" w:cs="仿宋_GB2312"/>
          <w:color w:val="auto"/>
          <w:sz w:val="32"/>
          <w:szCs w:val="32"/>
          <w:highlight w:val="none"/>
          <w:lang w:val="zh-CN" w:eastAsia="zh-CN"/>
        </w:rPr>
        <w:t>行政征用补偿形式包括：现金补偿、财政税费减免、实物补偿和其他形式的行政性补偿。</w:t>
      </w:r>
      <w:bookmarkEnd w:id="602"/>
      <w:bookmarkEnd w:id="603"/>
      <w:bookmarkEnd w:id="604"/>
      <w:bookmarkEnd w:id="605"/>
      <w:bookmarkEnd w:id="606"/>
      <w:bookmarkEnd w:id="607"/>
      <w:bookmarkEnd w:id="608"/>
      <w:bookmarkEnd w:id="609"/>
      <w:bookmarkEnd w:id="610"/>
      <w:bookmarkEnd w:id="611"/>
      <w:bookmarkStart w:id="612" w:name="_Toc257820108"/>
      <w:bookmarkEnd w:id="612"/>
      <w:bookmarkStart w:id="613" w:name="_Toc21807"/>
      <w:bookmarkStart w:id="614" w:name="_Toc65"/>
      <w:bookmarkStart w:id="615" w:name="_Toc23788"/>
    </w:p>
    <w:p>
      <w:pPr>
        <w:bidi w:val="0"/>
        <w:ind w:firstLine="640" w:firstLineChars="200"/>
        <w:rPr>
          <w:rFonts w:hint="eastAsia" w:ascii="黑体" w:hAnsi="黑体" w:eastAsia="黑体" w:cs="黑体"/>
          <w:sz w:val="32"/>
          <w:szCs w:val="32"/>
          <w:highlight w:val="none"/>
          <w:lang w:val="en-US" w:eastAsia="zh-CN"/>
        </w:rPr>
      </w:pPr>
      <w:bookmarkStart w:id="616" w:name="_Toc28374"/>
      <w:r>
        <w:rPr>
          <w:rFonts w:hint="eastAsia" w:ascii="黑体" w:hAnsi="黑体" w:eastAsia="黑体" w:cs="黑体"/>
          <w:sz w:val="32"/>
          <w:szCs w:val="32"/>
          <w:highlight w:val="none"/>
          <w:lang w:val="en-US" w:eastAsia="zh-CN"/>
        </w:rPr>
        <w:t>6.4恢复与重建</w:t>
      </w:r>
      <w:bookmarkEnd w:id="613"/>
      <w:bookmarkEnd w:id="614"/>
      <w:bookmarkEnd w:id="615"/>
      <w:bookmarkEnd w:id="616"/>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因突发事件严重受损的交通基础设施，恢复重建工作由公路管理</w:t>
      </w:r>
      <w:r>
        <w:rPr>
          <w:rFonts w:hint="eastAsia" w:ascii="仿宋_GB2312" w:hAnsi="仿宋_GB2312" w:eastAsia="仿宋_GB2312" w:cs="仿宋_GB2312"/>
          <w:b w:val="0"/>
          <w:bCs w:val="0"/>
          <w:color w:val="auto"/>
          <w:kern w:val="0"/>
          <w:sz w:val="32"/>
          <w:szCs w:val="32"/>
          <w:highlight w:val="none"/>
          <w:lang w:val="zh-CN" w:eastAsia="zh-CN" w:bidi="ar-SA"/>
        </w:rPr>
        <w:t>部门负责。需要市交通运输局援助的，由公路管理部门提出请求，市交通运输局下属相关单位根据调查评估报告提出建议和意见，报经市交通运输局批准后组织实施。</w:t>
      </w:r>
    </w:p>
    <w:p>
      <w:pPr>
        <w:bidi w:val="0"/>
        <w:ind w:firstLine="640" w:firstLineChars="200"/>
        <w:rPr>
          <w:rFonts w:hint="eastAsia" w:ascii="黑体" w:hAnsi="黑体" w:eastAsia="黑体" w:cs="黑体"/>
          <w:b w:val="0"/>
          <w:bCs/>
          <w:color w:val="auto"/>
          <w:kern w:val="44"/>
          <w:sz w:val="32"/>
          <w:szCs w:val="32"/>
          <w:highlight w:val="none"/>
          <w:lang w:val="zh-CN" w:eastAsia="zh-CN" w:bidi="ar"/>
        </w:rPr>
      </w:pPr>
      <w:bookmarkStart w:id="617" w:name="_Toc5628"/>
      <w:bookmarkStart w:id="618" w:name="_Toc6208"/>
      <w:bookmarkStart w:id="619" w:name="_Toc8157"/>
      <w:r>
        <w:rPr>
          <w:rFonts w:hint="eastAsia" w:ascii="黑体" w:hAnsi="黑体" w:eastAsia="黑体" w:cs="黑体"/>
          <w:b w:val="0"/>
          <w:bCs/>
          <w:color w:val="auto"/>
          <w:kern w:val="44"/>
          <w:sz w:val="32"/>
          <w:szCs w:val="32"/>
          <w:highlight w:val="none"/>
          <w:lang w:val="en-US" w:eastAsia="zh-CN" w:bidi="ar"/>
        </w:rPr>
        <w:t>7.</w:t>
      </w:r>
      <w:r>
        <w:rPr>
          <w:rFonts w:hint="eastAsia" w:ascii="黑体" w:hAnsi="黑体" w:eastAsia="黑体" w:cs="黑体"/>
          <w:b w:val="0"/>
          <w:bCs/>
          <w:color w:val="auto"/>
          <w:kern w:val="44"/>
          <w:sz w:val="32"/>
          <w:szCs w:val="32"/>
          <w:highlight w:val="none"/>
          <w:lang w:val="zh-CN" w:eastAsia="zh-CN" w:bidi="ar"/>
        </w:rPr>
        <w:t>保障措施</w:t>
      </w:r>
      <w:bookmarkEnd w:id="617"/>
      <w:bookmarkEnd w:id="618"/>
      <w:bookmarkEnd w:id="619"/>
    </w:p>
    <w:p>
      <w:pPr>
        <w:bidi w:val="0"/>
        <w:ind w:firstLine="640" w:firstLineChars="200"/>
        <w:rPr>
          <w:rFonts w:hint="eastAsia" w:ascii="黑体" w:hAnsi="黑体" w:eastAsia="黑体" w:cs="黑体"/>
          <w:sz w:val="32"/>
          <w:szCs w:val="32"/>
          <w:highlight w:val="none"/>
          <w:lang w:val="en-US" w:eastAsia="zh-CN"/>
        </w:rPr>
      </w:pPr>
      <w:bookmarkStart w:id="620" w:name="_Toc257820110"/>
      <w:bookmarkEnd w:id="620"/>
      <w:bookmarkStart w:id="621" w:name="_Toc193440936"/>
      <w:bookmarkEnd w:id="621"/>
      <w:bookmarkStart w:id="622" w:name="_Toc217937006"/>
      <w:bookmarkEnd w:id="622"/>
      <w:bookmarkStart w:id="623" w:name="_Toc193855927"/>
      <w:bookmarkEnd w:id="623"/>
      <w:bookmarkStart w:id="624" w:name="_Toc11412"/>
      <w:bookmarkStart w:id="625" w:name="_Toc15824"/>
      <w:bookmarkStart w:id="626" w:name="_Toc28254"/>
      <w:bookmarkStart w:id="627" w:name="_Toc52211187"/>
      <w:r>
        <w:rPr>
          <w:rFonts w:hint="eastAsia" w:ascii="黑体" w:hAnsi="黑体" w:eastAsia="黑体" w:cs="黑体"/>
          <w:sz w:val="32"/>
          <w:szCs w:val="32"/>
          <w:highlight w:val="none"/>
          <w:lang w:val="en-US" w:eastAsia="zh-CN"/>
        </w:rPr>
        <w:t>7.1应急队伍</w:t>
      </w:r>
      <w:bookmarkEnd w:id="624"/>
      <w:bookmarkEnd w:id="625"/>
      <w:bookmarkEnd w:id="626"/>
      <w:bookmarkEnd w:id="627"/>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市交通运输局按照“平战结合、因地制宜，分类建设、分级负责，统一指挥、协调运转”的原则建立交通运输行业突发事件应急抢险救援队伍。</w:t>
      </w:r>
    </w:p>
    <w:p>
      <w:pPr>
        <w:bidi w:val="0"/>
        <w:ind w:firstLine="643" w:firstLineChars="200"/>
        <w:rPr>
          <w:rFonts w:hint="eastAsia" w:ascii="仿宋_GB2312" w:hAnsi="仿宋_GB2312" w:eastAsia="仿宋_GB2312" w:cs="仿宋_GB2312"/>
          <w:b/>
          <w:bCs/>
          <w:sz w:val="32"/>
          <w:szCs w:val="32"/>
          <w:highlight w:val="none"/>
        </w:rPr>
      </w:pPr>
      <w:bookmarkStart w:id="628" w:name="_Toc52211188"/>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.1.1交通运输行业应急抢险保</w:t>
      </w:r>
      <w:r>
        <w:rPr>
          <w:rFonts w:hint="eastAsia" w:ascii="仿宋_GB2312" w:hAnsi="仿宋_GB2312" w:eastAsia="仿宋_GB2312" w:cs="仿宋_GB2312"/>
          <w:b/>
          <w:bCs/>
          <w:sz w:val="32"/>
          <w:szCs w:val="32"/>
          <w:highlight w:val="none"/>
          <w:lang w:eastAsia="zh-CN"/>
        </w:rPr>
        <w:t>障</w:t>
      </w:r>
      <w:r>
        <w:rPr>
          <w:rFonts w:hint="eastAsia" w:ascii="仿宋_GB2312" w:hAnsi="仿宋_GB2312" w:eastAsia="仿宋_GB2312" w:cs="仿宋_GB2312"/>
          <w:b/>
          <w:bCs/>
          <w:sz w:val="32"/>
          <w:szCs w:val="32"/>
          <w:highlight w:val="none"/>
        </w:rPr>
        <w:t>队伍</w:t>
      </w:r>
      <w:bookmarkEnd w:id="628"/>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市交通运输局和局属单位应急管理机构负责应急抢通保障队伍的组建和日常管理。构建以市、县乡干线及公路工程、公路养护管理部门、养护工程部门为主体的各类交通运输应急抢险保障队伍。</w:t>
      </w:r>
    </w:p>
    <w:p>
      <w:pPr>
        <w:bidi w:val="0"/>
        <w:ind w:firstLine="643" w:firstLineChars="200"/>
        <w:rPr>
          <w:rFonts w:hint="eastAsia" w:ascii="仿宋_GB2312" w:hAnsi="仿宋_GB2312" w:eastAsia="仿宋_GB2312" w:cs="仿宋_GB2312"/>
          <w:b/>
          <w:bCs/>
          <w:sz w:val="32"/>
          <w:szCs w:val="32"/>
          <w:highlight w:val="none"/>
        </w:rPr>
      </w:pPr>
      <w:bookmarkStart w:id="629" w:name="_Toc52211189"/>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.1.2应急运输保障队伍</w:t>
      </w:r>
      <w:bookmarkEnd w:id="629"/>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市交通运输局负责辖区内的公路应急运输保障队伍的规划、建设和日常管理工作，按照“平战结合、分级储备、择优选择、统一指挥”的原则在本辖区内建立应急运力储备。</w:t>
      </w:r>
    </w:p>
    <w:p>
      <w:pPr>
        <w:bidi w:val="0"/>
        <w:ind w:firstLine="643" w:firstLineChars="200"/>
        <w:rPr>
          <w:rFonts w:hint="eastAsia" w:ascii="仿宋_GB2312" w:hAnsi="仿宋_GB2312" w:eastAsia="仿宋_GB2312" w:cs="仿宋_GB2312"/>
          <w:b/>
          <w:bCs/>
          <w:sz w:val="32"/>
          <w:szCs w:val="32"/>
          <w:highlight w:val="none"/>
        </w:rPr>
      </w:pPr>
      <w:bookmarkStart w:id="630" w:name="_Toc193855930"/>
      <w:bookmarkEnd w:id="630"/>
      <w:bookmarkStart w:id="631" w:name="_Toc217937009"/>
      <w:bookmarkEnd w:id="631"/>
      <w:bookmarkStart w:id="632" w:name="_Toc257820113"/>
      <w:bookmarkEnd w:id="632"/>
      <w:bookmarkStart w:id="633" w:name="_Toc193440940"/>
      <w:bookmarkEnd w:id="633"/>
      <w:bookmarkStart w:id="634" w:name="_Toc52211190"/>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.1.3社会力量动员与参与</w:t>
      </w:r>
      <w:bookmarkEnd w:id="634"/>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市交通运输局应根据属地的实际情况和突发事件特点，制订社会动员方案，明确动员的范围、组织程序、决策程序。在公路交通运输自有应急力量不能满足应急处置需求时，向同级政府提出请求，请求动员社会力量，协调驻地部队、消防部门参与应急处置工作。</w:t>
      </w:r>
      <w:bookmarkStart w:id="635" w:name="_Toc257820115"/>
      <w:bookmarkEnd w:id="635"/>
      <w:bookmarkStart w:id="636" w:name="_Toc257820114"/>
      <w:bookmarkEnd w:id="636"/>
      <w:bookmarkStart w:id="637" w:name="_6.1.4地级以上交通运输局（委）联动协调"/>
      <w:bookmarkEnd w:id="637"/>
      <w:bookmarkStart w:id="638" w:name="_Toc193440941"/>
      <w:bookmarkEnd w:id="638"/>
      <w:bookmarkStart w:id="639" w:name="_Toc193855932"/>
      <w:bookmarkEnd w:id="639"/>
      <w:bookmarkStart w:id="640" w:name="_Toc217937011"/>
      <w:bookmarkEnd w:id="640"/>
      <w:bookmarkStart w:id="641" w:name="_Toc52211192"/>
      <w:bookmarkStart w:id="642" w:name="_Toc22222"/>
      <w:bookmarkStart w:id="643" w:name="_Toc1921"/>
      <w:bookmarkStart w:id="644" w:name="_Toc19451"/>
    </w:p>
    <w:p>
      <w:pPr>
        <w:bidi w:val="0"/>
        <w:ind w:firstLine="640" w:firstLineChars="200"/>
        <w:rPr>
          <w:rFonts w:hint="eastAsia" w:ascii="黑体" w:hAnsi="黑体" w:eastAsia="黑体" w:cs="黑体"/>
          <w:sz w:val="32"/>
          <w:szCs w:val="32"/>
          <w:highlight w:val="none"/>
          <w:lang w:val="en-US" w:eastAsia="zh-CN"/>
        </w:rPr>
      </w:pPr>
      <w:bookmarkStart w:id="645" w:name="_Toc17823"/>
      <w:r>
        <w:rPr>
          <w:rFonts w:hint="eastAsia" w:ascii="黑体" w:hAnsi="黑体" w:eastAsia="黑体" w:cs="黑体"/>
          <w:sz w:val="32"/>
          <w:szCs w:val="32"/>
          <w:highlight w:val="none"/>
          <w:lang w:val="en-US" w:eastAsia="zh-CN"/>
        </w:rPr>
        <w:t>7.2物资设备</w:t>
      </w:r>
      <w:bookmarkEnd w:id="641"/>
      <w:r>
        <w:rPr>
          <w:rFonts w:hint="eastAsia" w:ascii="黑体" w:hAnsi="黑体" w:eastAsia="黑体" w:cs="黑体"/>
          <w:sz w:val="32"/>
          <w:szCs w:val="32"/>
          <w:highlight w:val="none"/>
          <w:lang w:val="en-US" w:eastAsia="zh-CN"/>
        </w:rPr>
        <w:t>保障</w:t>
      </w:r>
      <w:bookmarkEnd w:id="642"/>
      <w:bookmarkEnd w:id="643"/>
      <w:bookmarkEnd w:id="644"/>
      <w:bookmarkEnd w:id="645"/>
    </w:p>
    <w:p>
      <w:pPr>
        <w:bidi w:val="0"/>
        <w:ind w:firstLine="643" w:firstLineChars="200"/>
        <w:rPr>
          <w:rFonts w:hint="eastAsia" w:ascii="仿宋_GB2312" w:hAnsi="仿宋_GB2312" w:eastAsia="仿宋_GB2312" w:cs="仿宋_GB2312"/>
          <w:b/>
          <w:bCs/>
          <w:sz w:val="32"/>
          <w:szCs w:val="32"/>
          <w:highlight w:val="none"/>
        </w:rPr>
      </w:pPr>
      <w:bookmarkStart w:id="646" w:name="_Toc257820116"/>
      <w:bookmarkEnd w:id="646"/>
      <w:bookmarkStart w:id="647" w:name="_Toc193440942"/>
      <w:bookmarkEnd w:id="647"/>
      <w:bookmarkStart w:id="648" w:name="_Toc217937012"/>
      <w:bookmarkEnd w:id="648"/>
      <w:bookmarkStart w:id="649" w:name="_Toc193855933"/>
      <w:bookmarkEnd w:id="649"/>
      <w:bookmarkStart w:id="650" w:name="_Toc52211193"/>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.2.1应急物资设备种类</w:t>
      </w:r>
      <w:bookmarkEnd w:id="65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应急物资包括道路抢通物资和救援物资两类。道路抢通物资主要包括“321”、“200”型钢桥，5吨以上普通货车、危险货物运输车辆、客运车辆；大型公路施工机械，汽车起重机、挖掘机、装载机、推土机、压路机、桥梁吊装设备、平板拖车等；沥青、碎石、砂石、水泥、钢板、木材、草袋、麻袋、融雪剂、防滑料、吸油材料等；救援物资包括方便食品、饮水、防护衣物及装备、医药、照明、帐篷、燃料、安全标志、车辆防护器材及常用维修工具、应急救援车辆、船舶等。</w:t>
      </w:r>
      <w:bookmarkStart w:id="651" w:name="_Toc193440943"/>
      <w:bookmarkEnd w:id="651"/>
    </w:p>
    <w:p>
      <w:pPr>
        <w:bidi w:val="0"/>
        <w:ind w:firstLine="643" w:firstLineChars="200"/>
        <w:rPr>
          <w:rFonts w:hint="eastAsia" w:ascii="仿宋_GB2312" w:hAnsi="仿宋_GB2312" w:eastAsia="仿宋_GB2312" w:cs="仿宋_GB2312"/>
          <w:b/>
          <w:bCs/>
          <w:sz w:val="32"/>
          <w:szCs w:val="32"/>
          <w:highlight w:val="none"/>
        </w:rPr>
      </w:pPr>
      <w:bookmarkStart w:id="652" w:name="_Toc257820117"/>
      <w:bookmarkEnd w:id="652"/>
      <w:bookmarkStart w:id="653" w:name="_Toc193855934"/>
      <w:bookmarkEnd w:id="653"/>
      <w:bookmarkStart w:id="654" w:name="_Toc217937013"/>
      <w:bookmarkEnd w:id="654"/>
      <w:bookmarkStart w:id="655" w:name="_Toc52211194"/>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.2.2应急物资设备储</w:t>
      </w:r>
      <w:bookmarkEnd w:id="655"/>
      <w:r>
        <w:rPr>
          <w:rFonts w:hint="eastAsia" w:ascii="仿宋_GB2312" w:hAnsi="仿宋_GB2312" w:eastAsia="仿宋_GB2312" w:cs="仿宋_GB2312"/>
          <w:b/>
          <w:bCs/>
          <w:sz w:val="32"/>
          <w:szCs w:val="32"/>
          <w:highlight w:val="none"/>
        </w:rPr>
        <w:t>备体系</w:t>
      </w:r>
    </w:p>
    <w:p>
      <w:pPr>
        <w:bidi w:val="0"/>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（1）交通运输应急物资储备</w:t>
      </w:r>
    </w:p>
    <w:p>
      <w:pPr>
        <w:bidi w:val="0"/>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在市交通运输局组织协调下，市公路局、市交通运输</w:t>
      </w:r>
      <w:r>
        <w:rPr>
          <w:rFonts w:hint="eastAsia" w:ascii="仿宋_GB2312" w:hAnsi="仿宋_GB2312" w:eastAsia="仿宋_GB2312" w:cs="仿宋_GB2312"/>
          <w:sz w:val="32"/>
          <w:szCs w:val="32"/>
          <w:highlight w:val="none"/>
          <w:lang w:val="en-US" w:eastAsia="zh-CN"/>
        </w:rPr>
        <w:t>具局属单位</w:t>
      </w:r>
      <w:r>
        <w:rPr>
          <w:rFonts w:hint="eastAsia" w:ascii="仿宋_GB2312" w:hAnsi="仿宋_GB2312" w:eastAsia="仿宋_GB2312" w:cs="仿宋_GB2312"/>
          <w:sz w:val="32"/>
          <w:szCs w:val="32"/>
          <w:highlight w:val="none"/>
          <w:lang w:eastAsia="zh-CN"/>
        </w:rPr>
        <w:t>根据全市公路、道路运输的分布情况，以“因地制宜、规模适当、合理分布、有效利用”为原则，结合各单位条件，建立若干交通运输应急物资储备基地，并纳入市政府规划和市政府应急物资设备储备体系。</w:t>
      </w:r>
    </w:p>
    <w:p>
      <w:pPr>
        <w:bidi w:val="0"/>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市交通运输局根据辖区内交通运输行业突发事件发生的种类和特点，结合交通运输应急抢险和应急运输保障队伍的分布，依托行业内养护施工单位、道路运输企业的各类设施资源，合理布局、统筹规划建设本地区交通运输应急物资储备点，并纳入当地政府规划和应急物资储备体系。</w:t>
      </w:r>
    </w:p>
    <w:p>
      <w:pPr>
        <w:bidi w:val="0"/>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）交通运输行业企业应急物资储备</w:t>
      </w:r>
    </w:p>
    <w:p>
      <w:pPr>
        <w:bidi w:val="0"/>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市交通运输局在风险源普查的基础上，根据风险评估结果和预案要求统筹考虑辖区应急基础设施和专用设备配备情况，督促相关交通运输企业建立必要的应急设备储备，并纳入当地政府规划和应急物资设备储备体系。</w:t>
      </w:r>
    </w:p>
    <w:p>
      <w:pPr>
        <w:bidi w:val="0"/>
        <w:ind w:firstLine="643" w:firstLineChars="200"/>
        <w:rPr>
          <w:rFonts w:hint="eastAsia" w:ascii="仿宋_GB2312" w:hAnsi="仿宋_GB2312" w:eastAsia="仿宋_GB2312" w:cs="仿宋_GB2312"/>
          <w:b/>
          <w:bCs/>
          <w:sz w:val="32"/>
          <w:szCs w:val="32"/>
          <w:highlight w:val="none"/>
        </w:rPr>
      </w:pPr>
      <w:bookmarkStart w:id="656" w:name="_Toc257820118"/>
      <w:bookmarkEnd w:id="656"/>
      <w:bookmarkStart w:id="657" w:name="_Toc193855935"/>
      <w:bookmarkEnd w:id="657"/>
      <w:bookmarkStart w:id="658" w:name="_Toc193440944"/>
      <w:bookmarkEnd w:id="658"/>
      <w:bookmarkStart w:id="659" w:name="_Toc217937014"/>
      <w:bookmarkEnd w:id="659"/>
      <w:bookmarkStart w:id="660" w:name="_Toc52211195"/>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.2.3应急物资设备管理制度</w:t>
      </w:r>
      <w:bookmarkEnd w:id="660"/>
    </w:p>
    <w:p>
      <w:pPr>
        <w:bidi w:val="0"/>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市交通运输局应建立完善的应急物资设备采购、储存、更新、调拨管理制度体系，加强物资设备储备过程中的监管，防止储备物资设备被盗用、挪用、流失和失效，对各类物资及时予以补充和更新。</w:t>
      </w:r>
      <w:bookmarkStart w:id="661" w:name="_Toc193855937"/>
      <w:bookmarkEnd w:id="661"/>
      <w:bookmarkStart w:id="662" w:name="_Toc257820119"/>
      <w:bookmarkEnd w:id="662"/>
      <w:bookmarkStart w:id="663" w:name="_Toc193440946"/>
      <w:bookmarkEnd w:id="663"/>
      <w:bookmarkStart w:id="664" w:name="_Toc217937016"/>
      <w:bookmarkEnd w:id="664"/>
      <w:bookmarkStart w:id="665" w:name="_Toc2025"/>
      <w:bookmarkStart w:id="666" w:name="_Toc23951"/>
      <w:bookmarkStart w:id="667" w:name="_Toc52211196"/>
      <w:bookmarkStart w:id="668" w:name="_Toc14272"/>
    </w:p>
    <w:p>
      <w:pPr>
        <w:bidi w:val="0"/>
        <w:ind w:firstLine="640" w:firstLineChars="200"/>
        <w:rPr>
          <w:rFonts w:hint="eastAsia" w:ascii="黑体" w:hAnsi="黑体" w:eastAsia="黑体" w:cs="黑体"/>
          <w:sz w:val="32"/>
          <w:szCs w:val="32"/>
          <w:highlight w:val="none"/>
          <w:lang w:val="en-US" w:eastAsia="zh-CN"/>
        </w:rPr>
      </w:pPr>
      <w:bookmarkStart w:id="669" w:name="_Toc251"/>
      <w:r>
        <w:rPr>
          <w:rFonts w:hint="eastAsia" w:ascii="黑体" w:hAnsi="黑体" w:eastAsia="黑体" w:cs="黑体"/>
          <w:sz w:val="32"/>
          <w:szCs w:val="32"/>
          <w:highlight w:val="none"/>
          <w:lang w:val="en-US" w:eastAsia="zh-CN"/>
        </w:rPr>
        <w:t>7.3通信与信息保障</w:t>
      </w:r>
      <w:bookmarkEnd w:id="665"/>
      <w:bookmarkEnd w:id="666"/>
      <w:bookmarkEnd w:id="667"/>
      <w:bookmarkEnd w:id="668"/>
      <w:bookmarkEnd w:id="669"/>
    </w:p>
    <w:p>
      <w:pPr>
        <w:bidi w:val="0"/>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充分整合现有交通运输平台信息资源，建立和完善“统一管理、多网联动、快速响应、处理有效”的交通运输应急平台体系。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bookmarkStart w:id="670" w:name="_Toc18558"/>
      <w:bookmarkStart w:id="671" w:name="_Toc25016"/>
      <w:r>
        <w:rPr>
          <w:rFonts w:hint="eastAsia" w:ascii="仿宋_GB2312" w:hAnsi="仿宋_GB2312" w:eastAsia="仿宋_GB2312" w:cs="仿宋_GB2312"/>
          <w:sz w:val="32"/>
          <w:szCs w:val="32"/>
          <w:highlight w:val="none"/>
          <w:lang w:eastAsia="zh-CN"/>
        </w:rPr>
        <w:t>市交通运输局牵头组建市级交通运输应急信息平台。交通运输应急信息平台的基本构成包括：应急指挥系统、移动应急平台、基础支撑系统、数据库系统、综合应用系统、信息接报与发布系统、安全保障体系和标准规范体系。并能够及时向上级应急平台提供数据、图像、资料等。</w:t>
      </w:r>
      <w:bookmarkEnd w:id="670"/>
      <w:bookmarkEnd w:id="671"/>
      <w:bookmarkStart w:id="672" w:name="_Toc257820120"/>
      <w:bookmarkEnd w:id="672"/>
      <w:bookmarkStart w:id="673" w:name="_Toc193855942"/>
      <w:bookmarkEnd w:id="673"/>
      <w:bookmarkStart w:id="674" w:name="_Toc217937021"/>
      <w:bookmarkEnd w:id="674"/>
      <w:bookmarkStart w:id="675" w:name="_Toc193440951"/>
      <w:bookmarkEnd w:id="675"/>
      <w:bookmarkStart w:id="676" w:name="_Toc17364"/>
      <w:bookmarkStart w:id="677" w:name="_Toc7705"/>
      <w:bookmarkStart w:id="678" w:name="_Toc52211197"/>
      <w:bookmarkStart w:id="679" w:name="_Toc37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bookmarkStart w:id="680" w:name="_Toc17536"/>
      <w:r>
        <w:rPr>
          <w:rFonts w:hint="eastAsia" w:ascii="黑体" w:hAnsi="黑体" w:eastAsia="黑体" w:cs="黑体"/>
          <w:sz w:val="32"/>
          <w:szCs w:val="32"/>
          <w:highlight w:val="none"/>
          <w:lang w:val="en-US" w:eastAsia="zh-CN"/>
        </w:rPr>
        <w:t>7.4技术支撑</w:t>
      </w:r>
      <w:bookmarkEnd w:id="676"/>
      <w:bookmarkEnd w:id="677"/>
      <w:bookmarkEnd w:id="678"/>
      <w:bookmarkEnd w:id="679"/>
      <w:bookmarkEnd w:id="68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rPr>
      </w:pPr>
      <w:bookmarkStart w:id="681" w:name="_Toc193855943"/>
      <w:bookmarkEnd w:id="681"/>
      <w:bookmarkStart w:id="682" w:name="_Toc217937022"/>
      <w:bookmarkEnd w:id="682"/>
      <w:bookmarkStart w:id="683" w:name="_Toc257820121"/>
      <w:bookmarkEnd w:id="683"/>
      <w:bookmarkStart w:id="684" w:name="_Toc52211198"/>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.4.1科技支撑</w:t>
      </w:r>
      <w:bookmarkEnd w:id="6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积极借鉴和引进国际、国内先进经验，重点加强公路桥梁安全防范与应急处置、特种应急抢险技术装备的应用工作。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rPr>
      </w:pPr>
      <w:bookmarkStart w:id="685" w:name="_Toc217937023"/>
      <w:bookmarkEnd w:id="685"/>
      <w:bookmarkStart w:id="686" w:name="_Toc193855944"/>
      <w:bookmarkEnd w:id="686"/>
      <w:bookmarkStart w:id="687" w:name="_Toc52211199"/>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.4.2应急数据库</w:t>
      </w:r>
      <w:bookmarkEnd w:id="68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建立包括应急咨询专家、知识储备、应急预案、应急物资等应急资源数据库。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bookmarkStart w:id="688" w:name="_Toc217937024"/>
      <w:bookmarkEnd w:id="688"/>
      <w:bookmarkStart w:id="689" w:name="_Toc257820122"/>
      <w:bookmarkEnd w:id="689"/>
      <w:bookmarkStart w:id="690" w:name="_Toc193855945"/>
      <w:bookmarkEnd w:id="690"/>
      <w:bookmarkStart w:id="691" w:name="_Toc193440952"/>
      <w:bookmarkEnd w:id="691"/>
      <w:bookmarkStart w:id="692" w:name="_Toc25232"/>
      <w:bookmarkStart w:id="693" w:name="_Toc28368"/>
      <w:bookmarkStart w:id="694" w:name="_Toc15053"/>
      <w:bookmarkStart w:id="695" w:name="_Toc2216"/>
      <w:bookmarkStart w:id="696" w:name="_Toc52211200"/>
      <w:r>
        <w:rPr>
          <w:rFonts w:hint="eastAsia" w:ascii="黑体" w:hAnsi="黑体" w:eastAsia="黑体" w:cs="黑体"/>
          <w:sz w:val="32"/>
          <w:szCs w:val="32"/>
          <w:highlight w:val="none"/>
          <w:lang w:val="en-US" w:eastAsia="zh-CN"/>
        </w:rPr>
        <w:t>7.5资金保障</w:t>
      </w:r>
      <w:bookmarkEnd w:id="692"/>
      <w:bookmarkEnd w:id="693"/>
      <w:bookmarkEnd w:id="694"/>
      <w:bookmarkEnd w:id="695"/>
      <w:bookmarkEnd w:id="69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交通运输应急保障特别运输补贴等应急保障所需的各项经费，应按照现行事权、财权划分原则，分级负担，并按有关规定程序列入市交通运输局年度财政预算中。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bookmarkStart w:id="697" w:name="_Toc193855922"/>
      <w:bookmarkEnd w:id="697"/>
      <w:bookmarkStart w:id="698" w:name="_Toc257820126"/>
      <w:bookmarkEnd w:id="698"/>
      <w:bookmarkStart w:id="699" w:name="_Toc5787"/>
      <w:bookmarkStart w:id="700" w:name="_Toc574"/>
      <w:bookmarkStart w:id="701" w:name="_Toc28231"/>
      <w:bookmarkStart w:id="702" w:name="_Toc12267"/>
      <w:r>
        <w:rPr>
          <w:rFonts w:hint="eastAsia" w:ascii="黑体" w:hAnsi="黑体" w:eastAsia="黑体" w:cs="宋体"/>
          <w:color w:val="auto"/>
          <w:kern w:val="0"/>
          <w:sz w:val="32"/>
          <w:szCs w:val="32"/>
          <w:highlight w:val="none"/>
          <w:lang w:val="en-US" w:eastAsia="zh-CN"/>
        </w:rPr>
        <w:t>8.</w:t>
      </w:r>
      <w:r>
        <w:rPr>
          <w:rFonts w:hint="eastAsia" w:ascii="黑体" w:hAnsi="黑体" w:eastAsia="黑体" w:cs="宋体"/>
          <w:color w:val="auto"/>
          <w:kern w:val="0"/>
          <w:sz w:val="32"/>
          <w:szCs w:val="32"/>
          <w:highlight w:val="none"/>
          <w:lang w:val="zh-CN" w:eastAsia="zh-CN"/>
        </w:rPr>
        <w:t>附则</w:t>
      </w:r>
      <w:bookmarkEnd w:id="699"/>
      <w:bookmarkEnd w:id="700"/>
      <w:bookmarkEnd w:id="701"/>
      <w:bookmarkEnd w:id="70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bookmarkStart w:id="703" w:name="_Toc18983"/>
      <w:bookmarkStart w:id="704" w:name="_Toc18625"/>
      <w:bookmarkStart w:id="705" w:name="_Toc31072"/>
      <w:bookmarkStart w:id="706" w:name="_Toc31231"/>
      <w:r>
        <w:rPr>
          <w:rFonts w:hint="eastAsia" w:ascii="黑体" w:hAnsi="黑体" w:eastAsia="黑体" w:cs="宋体"/>
          <w:color w:val="auto"/>
          <w:kern w:val="0"/>
          <w:sz w:val="32"/>
          <w:szCs w:val="32"/>
          <w:highlight w:val="none"/>
          <w:lang w:val="en-US" w:eastAsia="zh-CN"/>
        </w:rPr>
        <w:t>8</w:t>
      </w:r>
      <w:r>
        <w:rPr>
          <w:rFonts w:hint="eastAsia" w:ascii="黑体" w:hAnsi="黑体" w:eastAsia="黑体" w:cs="宋体"/>
          <w:color w:val="auto"/>
          <w:kern w:val="0"/>
          <w:sz w:val="32"/>
          <w:szCs w:val="32"/>
          <w:highlight w:val="none"/>
          <w:lang w:val="zh-CN" w:eastAsia="zh-CN"/>
        </w:rPr>
        <w:t>.</w:t>
      </w:r>
      <w:r>
        <w:rPr>
          <w:rFonts w:hint="eastAsia" w:ascii="黑体" w:hAnsi="黑体" w:eastAsia="黑体" w:cs="宋体"/>
          <w:color w:val="auto"/>
          <w:kern w:val="0"/>
          <w:sz w:val="32"/>
          <w:szCs w:val="32"/>
          <w:highlight w:val="none"/>
          <w:lang w:val="en-US" w:eastAsia="zh-CN"/>
        </w:rPr>
        <w:t>1</w:t>
      </w:r>
      <w:r>
        <w:rPr>
          <w:rFonts w:hint="eastAsia" w:ascii="黑体" w:hAnsi="黑体" w:eastAsia="黑体" w:cs="宋体"/>
          <w:color w:val="auto"/>
          <w:kern w:val="0"/>
          <w:sz w:val="32"/>
          <w:szCs w:val="32"/>
          <w:highlight w:val="none"/>
          <w:lang w:val="zh-CN" w:eastAsia="zh-CN"/>
        </w:rPr>
        <w:t>制定与解释</w:t>
      </w:r>
      <w:bookmarkEnd w:id="703"/>
      <w:bookmarkEnd w:id="704"/>
      <w:bookmarkEnd w:id="705"/>
      <w:bookmarkEnd w:id="7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zh-CN" w:eastAsia="zh-CN"/>
        </w:rPr>
      </w:pPr>
      <w:bookmarkStart w:id="707" w:name="_Toc17589"/>
      <w:bookmarkStart w:id="708" w:name="_Toc1306"/>
      <w:bookmarkStart w:id="709" w:name="_Toc7855"/>
      <w:bookmarkStart w:id="710" w:name="_Toc21342"/>
      <w:bookmarkStart w:id="711" w:name="_Toc27958"/>
      <w:bookmarkStart w:id="712" w:name="_Toc18614"/>
      <w:bookmarkStart w:id="713" w:name="_Toc13829"/>
      <w:bookmarkStart w:id="714" w:name="_Toc29568"/>
      <w:bookmarkStart w:id="715" w:name="_Toc9145"/>
      <w:bookmarkStart w:id="716" w:name="_Toc24973"/>
      <w:bookmarkStart w:id="717" w:name="_Toc18105"/>
      <w:r>
        <w:rPr>
          <w:rFonts w:hint="eastAsia" w:ascii="仿宋_GB2312" w:hAnsi="仿宋_GB2312" w:eastAsia="仿宋_GB2312" w:cs="仿宋_GB2312"/>
          <w:sz w:val="32"/>
          <w:szCs w:val="32"/>
          <w:highlight w:val="none"/>
          <w:lang w:val="zh-CN" w:eastAsia="zh-CN"/>
        </w:rPr>
        <w:t>本预案的具体应用问题由五指山市交通运输局负责解释。</w:t>
      </w:r>
      <w:bookmarkEnd w:id="707"/>
      <w:bookmarkEnd w:id="708"/>
      <w:bookmarkEnd w:id="709"/>
      <w:bookmarkEnd w:id="710"/>
      <w:bookmarkEnd w:id="711"/>
      <w:bookmarkEnd w:id="712"/>
      <w:bookmarkEnd w:id="713"/>
      <w:bookmarkEnd w:id="714"/>
      <w:bookmarkEnd w:id="715"/>
      <w:bookmarkEnd w:id="716"/>
      <w:bookmarkEnd w:id="7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bookmarkStart w:id="718" w:name="_Toc8002"/>
      <w:bookmarkStart w:id="719" w:name="_Toc18670"/>
      <w:bookmarkStart w:id="720" w:name="_Toc17116"/>
      <w:bookmarkStart w:id="721" w:name="_Toc38"/>
      <w:r>
        <w:rPr>
          <w:rFonts w:hint="eastAsia" w:ascii="黑体" w:hAnsi="黑体" w:eastAsia="黑体" w:cs="宋体"/>
          <w:color w:val="auto"/>
          <w:kern w:val="0"/>
          <w:sz w:val="32"/>
          <w:szCs w:val="32"/>
          <w:highlight w:val="none"/>
          <w:lang w:val="en-US" w:eastAsia="zh-CN"/>
        </w:rPr>
        <w:t>8</w:t>
      </w:r>
      <w:r>
        <w:rPr>
          <w:rFonts w:hint="eastAsia" w:ascii="黑体" w:hAnsi="黑体" w:eastAsia="黑体" w:cs="宋体"/>
          <w:color w:val="auto"/>
          <w:kern w:val="0"/>
          <w:sz w:val="32"/>
          <w:szCs w:val="32"/>
          <w:highlight w:val="none"/>
          <w:lang w:val="zh-CN" w:eastAsia="zh-CN"/>
        </w:rPr>
        <w:t>.</w:t>
      </w:r>
      <w:r>
        <w:rPr>
          <w:rFonts w:hint="eastAsia" w:ascii="黑体" w:hAnsi="黑体" w:eastAsia="黑体" w:cs="宋体"/>
          <w:color w:val="auto"/>
          <w:kern w:val="0"/>
          <w:sz w:val="32"/>
          <w:szCs w:val="32"/>
          <w:highlight w:val="none"/>
          <w:lang w:val="en-US" w:eastAsia="zh-CN"/>
        </w:rPr>
        <w:t>2</w:t>
      </w:r>
      <w:r>
        <w:rPr>
          <w:rFonts w:hint="eastAsia" w:ascii="黑体" w:hAnsi="黑体" w:eastAsia="黑体" w:cs="宋体"/>
          <w:color w:val="auto"/>
          <w:kern w:val="0"/>
          <w:sz w:val="32"/>
          <w:szCs w:val="32"/>
          <w:highlight w:val="none"/>
          <w:lang w:val="zh-CN" w:eastAsia="zh-CN"/>
        </w:rPr>
        <w:t>预案</w:t>
      </w:r>
      <w:bookmarkEnd w:id="718"/>
      <w:bookmarkEnd w:id="719"/>
      <w:bookmarkEnd w:id="720"/>
      <w:r>
        <w:rPr>
          <w:rFonts w:hint="eastAsia" w:ascii="黑体" w:hAnsi="黑体" w:eastAsia="黑体" w:cs="宋体"/>
          <w:color w:val="auto"/>
          <w:kern w:val="0"/>
          <w:sz w:val="32"/>
          <w:szCs w:val="32"/>
          <w:highlight w:val="none"/>
          <w:lang w:val="zh-CN" w:eastAsia="zh-CN"/>
        </w:rPr>
        <w:t>施行及有效期</w:t>
      </w:r>
      <w:bookmarkEnd w:id="7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bookmarkStart w:id="722" w:name="_Toc1963"/>
      <w:bookmarkStart w:id="723" w:name="_Toc24788"/>
      <w:bookmarkStart w:id="724" w:name="_Toc21837"/>
      <w:bookmarkStart w:id="725" w:name="_Toc1016"/>
      <w:bookmarkStart w:id="726" w:name="_Toc18271"/>
      <w:bookmarkStart w:id="727" w:name="_Toc30574"/>
      <w:bookmarkStart w:id="728" w:name="_Toc2090"/>
      <w:bookmarkStart w:id="729" w:name="_Toc21685"/>
      <w:bookmarkStart w:id="730" w:name="_Toc17825"/>
      <w:bookmarkStart w:id="731" w:name="_Toc26661"/>
      <w:bookmarkStart w:id="732" w:name="_Toc19095"/>
      <w:r>
        <w:rPr>
          <w:rFonts w:hint="eastAsia" w:ascii="仿宋_GB2312" w:hAnsi="仿宋_GB2312" w:eastAsia="仿宋_GB2312" w:cs="仿宋_GB2312"/>
          <w:color w:val="auto"/>
          <w:sz w:val="32"/>
          <w:szCs w:val="32"/>
          <w:highlight w:val="none"/>
          <w:lang w:val="zh-CN" w:eastAsia="zh-CN"/>
        </w:rPr>
        <w:t>本预案</w:t>
      </w:r>
      <w:bookmarkEnd w:id="722"/>
      <w:bookmarkEnd w:id="723"/>
      <w:bookmarkEnd w:id="724"/>
      <w:bookmarkEnd w:id="725"/>
      <w:bookmarkEnd w:id="726"/>
      <w:bookmarkEnd w:id="727"/>
      <w:bookmarkEnd w:id="728"/>
      <w:bookmarkEnd w:id="729"/>
      <w:bookmarkEnd w:id="730"/>
      <w:bookmarkEnd w:id="731"/>
      <w:bookmarkEnd w:id="732"/>
      <w:r>
        <w:rPr>
          <w:rFonts w:hint="eastAsia" w:ascii="仿宋_GB2312" w:hAnsi="仿宋_GB2312" w:eastAsia="仿宋_GB2312" w:cs="仿宋_GB2312"/>
          <w:color w:val="auto"/>
          <w:sz w:val="32"/>
          <w:szCs w:val="32"/>
          <w:highlight w:val="none"/>
          <w:lang w:val="zh-CN" w:eastAsia="zh-CN"/>
        </w:rPr>
        <w:t>自印发之日起</w:t>
      </w:r>
      <w:r>
        <w:rPr>
          <w:rFonts w:hint="eastAsia" w:ascii="仿宋_GB2312" w:hAnsi="仿宋_GB2312" w:eastAsia="仿宋_GB2312" w:cs="仿宋_GB2312"/>
          <w:color w:val="auto"/>
          <w:sz w:val="32"/>
          <w:szCs w:val="32"/>
          <w:highlight w:val="none"/>
          <w:lang w:val="en-US" w:eastAsia="zh-CN"/>
        </w:rPr>
        <w:t>施行，有效期三年。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bookmarkStart w:id="733" w:name="_Toc6977"/>
      <w:bookmarkStart w:id="734" w:name="_Toc13934"/>
      <w:bookmarkStart w:id="735" w:name="_Toc19315"/>
      <w:bookmarkStart w:id="736" w:name="_Toc3691"/>
      <w:r>
        <w:rPr>
          <w:rFonts w:hint="eastAsia" w:ascii="黑体" w:hAnsi="黑体" w:eastAsia="黑体" w:cs="宋体"/>
          <w:color w:val="auto"/>
          <w:kern w:val="0"/>
          <w:sz w:val="32"/>
          <w:szCs w:val="32"/>
          <w:highlight w:val="none"/>
          <w:lang w:val="en-US" w:eastAsia="zh-CN"/>
        </w:rPr>
        <w:t>9.</w:t>
      </w:r>
      <w:r>
        <w:rPr>
          <w:rFonts w:hint="eastAsia" w:ascii="黑体" w:hAnsi="黑体" w:eastAsia="黑体" w:cs="宋体"/>
          <w:color w:val="auto"/>
          <w:kern w:val="0"/>
          <w:sz w:val="32"/>
          <w:szCs w:val="32"/>
          <w:highlight w:val="none"/>
          <w:lang w:val="zh-CN" w:eastAsia="zh-CN"/>
        </w:rPr>
        <w:t>附录</w:t>
      </w:r>
      <w:bookmarkEnd w:id="733"/>
      <w:bookmarkEnd w:id="734"/>
      <w:bookmarkEnd w:id="735"/>
      <w:bookmarkEnd w:id="736"/>
      <w:r>
        <w:rPr>
          <w:rFonts w:hint="eastAsia" w:ascii="黑体" w:hAnsi="黑体" w:eastAsia="黑体" w:cs="宋体"/>
          <w:color w:val="auto"/>
          <w:kern w:val="0"/>
          <w:sz w:val="32"/>
          <w:szCs w:val="32"/>
          <w:highlight w:val="none"/>
          <w:lang w:val="zh-CN"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kern w:val="0"/>
          <w:sz w:val="32"/>
          <w:szCs w:val="32"/>
          <w:highlight w:val="none"/>
          <w:lang w:val="zh-CN" w:eastAsia="zh-CN"/>
        </w:rPr>
      </w:pPr>
      <w:r>
        <w:rPr>
          <w:rFonts w:hint="eastAsia" w:ascii="黑体" w:hAnsi="黑体" w:eastAsia="黑体" w:cs="宋体"/>
          <w:color w:val="auto"/>
          <w:kern w:val="0"/>
          <w:sz w:val="32"/>
          <w:szCs w:val="32"/>
          <w:highlight w:val="none"/>
          <w:lang w:val="en-US" w:eastAsia="zh-CN"/>
        </w:rPr>
        <w:t>9</w:t>
      </w:r>
      <w:r>
        <w:rPr>
          <w:rFonts w:hint="eastAsia" w:ascii="黑体" w:hAnsi="黑体" w:eastAsia="黑体" w:cs="宋体"/>
          <w:color w:val="auto"/>
          <w:kern w:val="0"/>
          <w:sz w:val="32"/>
          <w:szCs w:val="32"/>
          <w:highlight w:val="none"/>
          <w:lang w:val="zh-CN" w:eastAsia="zh-CN"/>
        </w:rPr>
        <w:t>.1</w:t>
      </w:r>
      <w:r>
        <w:rPr>
          <w:rFonts w:hint="eastAsia" w:ascii="黑体" w:hAnsi="黑体" w:eastAsia="黑体" w:cs="宋体"/>
          <w:color w:val="auto"/>
          <w:kern w:val="0"/>
          <w:sz w:val="32"/>
          <w:szCs w:val="32"/>
          <w:highlight w:val="none"/>
          <w:lang w:val="en-US" w:eastAsia="zh-CN"/>
        </w:rPr>
        <w:t>应急指挥部工作组成员</w:t>
      </w:r>
    </w:p>
    <w:tbl>
      <w:tblPr>
        <w:tblStyle w:val="10"/>
        <w:tblpPr w:leftFromText="180" w:rightFromText="180" w:vertAnchor="text" w:horzAnchor="page" w:tblpX="1967" w:tblpY="554"/>
        <w:tblOverlap w:val="never"/>
        <w:tblW w:w="8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075"/>
        <w:gridCol w:w="3157"/>
        <w:gridCol w:w="105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527"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bookmarkStart w:id="737" w:name="_Toc8158"/>
            <w:r>
              <w:rPr>
                <w:rFonts w:hint="eastAsia" w:ascii="宋体" w:hAnsi="宋体" w:eastAsia="宋体" w:cs="宋体"/>
                <w:color w:val="auto"/>
                <w:sz w:val="24"/>
                <w:szCs w:val="32"/>
                <w:highlight w:val="none"/>
                <w:vertAlign w:val="baseline"/>
                <w:lang w:val="en-US" w:eastAsia="zh-CN"/>
              </w:rPr>
              <w:t>组织名称</w:t>
            </w:r>
          </w:p>
        </w:tc>
        <w:tc>
          <w:tcPr>
            <w:tcW w:w="31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所处机构/办公室</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职务</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2527" w:type="dxa"/>
            <w:gridSpan w:val="2"/>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市交通运输局应急领导机构</w:t>
            </w:r>
          </w:p>
        </w:tc>
        <w:tc>
          <w:tcPr>
            <w:tcW w:w="3157"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市交通运输局、五指山公路分局、市交通运输局局属各办公室</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市交通运输局应急管理工作办公室</w:t>
            </w:r>
          </w:p>
        </w:tc>
        <w:tc>
          <w:tcPr>
            <w:tcW w:w="1075"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主任</w:t>
            </w:r>
          </w:p>
        </w:tc>
        <w:tc>
          <w:tcPr>
            <w:tcW w:w="3157"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市交通运输局办公室</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副局长</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86637923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副主任</w:t>
            </w:r>
          </w:p>
        </w:tc>
        <w:tc>
          <w:tcPr>
            <w:tcW w:w="315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办公室主任</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综合协调组</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组长</w:t>
            </w:r>
          </w:p>
        </w:tc>
        <w:tc>
          <w:tcPr>
            <w:tcW w:w="3157"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市交通运输局办公室</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主任</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  员</w:t>
            </w:r>
          </w:p>
        </w:tc>
        <w:tc>
          <w:tcPr>
            <w:tcW w:w="315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收发员</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315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办事员</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现场工作组</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组长</w:t>
            </w:r>
          </w:p>
        </w:tc>
        <w:tc>
          <w:tcPr>
            <w:tcW w:w="3157"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安全生产管理办公室</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副局长</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86637923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组员</w:t>
            </w:r>
          </w:p>
        </w:tc>
        <w:tc>
          <w:tcPr>
            <w:tcW w:w="315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主任</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86637923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315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科员</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86637923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通行和运力保障组</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  长</w:t>
            </w:r>
          </w:p>
        </w:tc>
        <w:tc>
          <w:tcPr>
            <w:tcW w:w="3157"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交通运输和地方公路事务中心</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主任</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86639270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  员</w:t>
            </w:r>
          </w:p>
        </w:tc>
        <w:tc>
          <w:tcPr>
            <w:tcW w:w="315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副主任</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86639271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315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办公室主任主任</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86623699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新闻宣传组</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  长</w:t>
            </w:r>
          </w:p>
        </w:tc>
        <w:tc>
          <w:tcPr>
            <w:tcW w:w="3157"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cs="宋体"/>
                <w:color w:val="auto"/>
                <w:sz w:val="24"/>
                <w:szCs w:val="32"/>
                <w:highlight w:val="none"/>
                <w:vertAlign w:val="baseline"/>
                <w:lang w:val="en-US" w:eastAsia="zh-CN"/>
              </w:rPr>
              <w:t>市交通运输局</w:t>
            </w:r>
            <w:r>
              <w:rPr>
                <w:rFonts w:hint="eastAsia" w:ascii="宋体" w:hAnsi="宋体" w:eastAsia="宋体" w:cs="宋体"/>
                <w:color w:val="auto"/>
                <w:sz w:val="24"/>
                <w:szCs w:val="32"/>
                <w:highlight w:val="none"/>
                <w:vertAlign w:val="baseline"/>
                <w:lang w:val="zh-CN" w:eastAsia="zh-CN"/>
              </w:rPr>
              <w:t>办公室</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副局长</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  员</w:t>
            </w:r>
          </w:p>
        </w:tc>
        <w:tc>
          <w:tcPr>
            <w:tcW w:w="3157"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收发员</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3157"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办事员</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86622439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善后维稳组</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组长</w:t>
            </w:r>
          </w:p>
        </w:tc>
        <w:tc>
          <w:tcPr>
            <w:tcW w:w="3157"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公路建设办公室</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4"/>
                <w:szCs w:val="32"/>
                <w:highlight w:val="none"/>
                <w:vertAlign w:val="baseline"/>
                <w:lang w:val="en-US" w:eastAsia="zh-CN" w:bidi="ar-SA"/>
              </w:rPr>
            </w:pPr>
            <w:r>
              <w:rPr>
                <w:rFonts w:hint="eastAsia" w:ascii="宋体" w:hAnsi="宋体" w:eastAsia="宋体" w:cs="宋体"/>
                <w:color w:val="auto"/>
                <w:sz w:val="24"/>
                <w:szCs w:val="32"/>
                <w:highlight w:val="none"/>
                <w:vertAlign w:val="baseline"/>
                <w:lang w:val="en-US" w:eastAsia="zh-CN"/>
              </w:rPr>
              <w:t>办事员</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4"/>
                <w:szCs w:val="32"/>
                <w:highlight w:val="none"/>
                <w:vertAlign w:val="baseline"/>
                <w:lang w:val="en-US" w:eastAsia="zh-CN" w:bidi="ar-SA"/>
              </w:rPr>
            </w:pPr>
            <w:r>
              <w:rPr>
                <w:rFonts w:hint="eastAsia" w:ascii="宋体" w:hAnsi="宋体" w:eastAsia="宋体" w:cs="宋体"/>
                <w:color w:val="auto"/>
                <w:sz w:val="24"/>
                <w:szCs w:val="32"/>
                <w:highlight w:val="none"/>
                <w:vertAlign w:val="baseline"/>
                <w:lang w:val="en-US" w:eastAsia="zh-CN"/>
              </w:rPr>
              <w:t>86624333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452"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75"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r>
              <w:rPr>
                <w:rFonts w:hint="eastAsia" w:ascii="宋体" w:hAnsi="宋体" w:eastAsia="宋体" w:cs="宋体"/>
                <w:color w:val="auto"/>
                <w:sz w:val="24"/>
                <w:szCs w:val="32"/>
                <w:highlight w:val="none"/>
                <w:vertAlign w:val="baseline"/>
                <w:lang w:val="en-US" w:eastAsia="zh-CN"/>
              </w:rPr>
              <w:t>组员</w:t>
            </w:r>
          </w:p>
        </w:tc>
        <w:tc>
          <w:tcPr>
            <w:tcW w:w="3157"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32"/>
                <w:highlight w:val="none"/>
                <w:vertAlign w:val="baseline"/>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4"/>
                <w:szCs w:val="32"/>
                <w:highlight w:val="none"/>
                <w:vertAlign w:val="baseline"/>
                <w:lang w:val="en-US" w:eastAsia="zh-CN" w:bidi="ar-SA"/>
              </w:rPr>
            </w:pPr>
            <w:r>
              <w:rPr>
                <w:rFonts w:hint="eastAsia" w:ascii="宋体" w:hAnsi="宋体" w:eastAsia="宋体" w:cs="宋体"/>
                <w:color w:val="auto"/>
                <w:sz w:val="24"/>
                <w:szCs w:val="32"/>
                <w:highlight w:val="none"/>
                <w:vertAlign w:val="baseline"/>
                <w:lang w:val="en-US" w:eastAsia="zh-CN"/>
              </w:rPr>
              <w:t>办事员</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4"/>
                <w:szCs w:val="32"/>
                <w:highlight w:val="none"/>
                <w:vertAlign w:val="baseline"/>
                <w:lang w:val="en-US" w:eastAsia="zh-CN" w:bidi="ar-SA"/>
              </w:rPr>
            </w:pPr>
            <w:r>
              <w:rPr>
                <w:rFonts w:hint="eastAsia" w:ascii="宋体" w:hAnsi="宋体" w:eastAsia="宋体" w:cs="宋体"/>
                <w:color w:val="auto"/>
                <w:sz w:val="24"/>
                <w:szCs w:val="32"/>
                <w:highlight w:val="none"/>
                <w:vertAlign w:val="baseline"/>
                <w:lang w:val="en-US" w:eastAsia="zh-CN"/>
              </w:rPr>
              <w:t>86624333</w:t>
            </w:r>
          </w:p>
        </w:tc>
      </w:tr>
      <w:bookmarkEnd w:id="737"/>
    </w:tbl>
    <w:p>
      <w:pPr>
        <w:ind w:firstLine="640" w:firstLineChars="200"/>
        <w:rPr>
          <w:rFonts w:hint="eastAsia" w:ascii="黑体" w:hAnsi="黑体" w:eastAsia="黑体" w:cs="宋体"/>
          <w:color w:val="auto"/>
          <w:kern w:val="0"/>
          <w:sz w:val="32"/>
          <w:szCs w:val="32"/>
          <w:highlight w:val="none"/>
          <w:lang w:val="zh-CN" w:eastAsia="zh-CN"/>
        </w:rPr>
      </w:pPr>
      <w:bookmarkStart w:id="738" w:name="_Toc9133"/>
      <w:r>
        <w:rPr>
          <w:rFonts w:hint="eastAsia" w:ascii="黑体" w:hAnsi="黑体" w:eastAsia="黑体" w:cs="宋体"/>
          <w:color w:val="auto"/>
          <w:kern w:val="0"/>
          <w:sz w:val="32"/>
          <w:szCs w:val="32"/>
          <w:highlight w:val="none"/>
          <w:lang w:val="en-US" w:eastAsia="zh-CN"/>
        </w:rPr>
        <w:t>9.2</w:t>
      </w:r>
      <w:r>
        <w:rPr>
          <w:rFonts w:hint="eastAsia" w:ascii="黑体" w:hAnsi="黑体" w:eastAsia="黑体" w:cs="宋体"/>
          <w:color w:val="auto"/>
          <w:kern w:val="0"/>
          <w:sz w:val="32"/>
          <w:szCs w:val="32"/>
          <w:highlight w:val="none"/>
          <w:lang w:val="zh-CN" w:eastAsia="zh-CN"/>
        </w:rPr>
        <w:t>交通行业相关单位应急值班电话</w:t>
      </w:r>
      <w:bookmarkEnd w:id="738"/>
    </w:p>
    <w:tbl>
      <w:tblPr>
        <w:tblStyle w:val="10"/>
        <w:tblW w:w="8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9"/>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单位</w:t>
            </w:r>
          </w:p>
        </w:tc>
        <w:tc>
          <w:tcPr>
            <w:tcW w:w="3600"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市交通运输局</w:t>
            </w:r>
          </w:p>
        </w:tc>
        <w:tc>
          <w:tcPr>
            <w:tcW w:w="3600"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86622439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五指山</w:t>
            </w:r>
            <w:r>
              <w:rPr>
                <w:rFonts w:hint="eastAsia" w:ascii="宋体" w:hAnsi="宋体" w:eastAsia="宋体" w:cs="宋体"/>
                <w:color w:val="auto"/>
                <w:kern w:val="0"/>
                <w:sz w:val="24"/>
                <w:szCs w:val="24"/>
                <w:highlight w:val="none"/>
                <w:lang w:eastAsia="zh-CN"/>
              </w:rPr>
              <w:t>公路分局</w:t>
            </w:r>
          </w:p>
        </w:tc>
        <w:tc>
          <w:tcPr>
            <w:tcW w:w="3600"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86622602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市应急管理局</w:t>
            </w:r>
          </w:p>
        </w:tc>
        <w:tc>
          <w:tcPr>
            <w:tcW w:w="3600"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86637709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海汽五指山分公司</w:t>
            </w:r>
          </w:p>
        </w:tc>
        <w:tc>
          <w:tcPr>
            <w:tcW w:w="3600"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86622419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五指山六龙观光巴士有限公司</w:t>
            </w:r>
          </w:p>
        </w:tc>
        <w:tc>
          <w:tcPr>
            <w:tcW w:w="3600"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86635777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五指山琼信汽车汽车运输有限公司</w:t>
            </w:r>
          </w:p>
        </w:tc>
        <w:tc>
          <w:tcPr>
            <w:tcW w:w="3600"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86622386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卓越驾校</w:t>
            </w:r>
          </w:p>
        </w:tc>
        <w:tc>
          <w:tcPr>
            <w:tcW w:w="3600"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86626699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琼南驾校</w:t>
            </w:r>
          </w:p>
        </w:tc>
        <w:tc>
          <w:tcPr>
            <w:tcW w:w="3600" w:type="dxa"/>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86625988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1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交通规费征稽局五指山分局</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86622290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bookmarkStart w:id="739" w:name="_Toc26879"/>
      <w:r>
        <w:rPr>
          <w:rFonts w:hint="eastAsia" w:ascii="黑体" w:hAnsi="黑体" w:eastAsia="黑体" w:cs="黑体"/>
          <w:sz w:val="32"/>
          <w:szCs w:val="32"/>
          <w:highlight w:val="none"/>
          <w:lang w:val="en-US" w:eastAsia="zh-CN"/>
        </w:rPr>
        <w:t>9.3五指山市交通运输局应急指挥部工作组职责及相关应急部门职责</w:t>
      </w:r>
      <w:bookmarkEnd w:id="739"/>
    </w:p>
    <w:tbl>
      <w:tblPr>
        <w:tblStyle w:val="10"/>
        <w:tblW w:w="9677"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120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应急部门</w:t>
            </w:r>
          </w:p>
        </w:tc>
        <w:tc>
          <w:tcPr>
            <w:tcW w:w="847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1" w:hRule="exact"/>
          <w:jc w:val="center"/>
        </w:trPr>
        <w:tc>
          <w:tcPr>
            <w:tcW w:w="12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市交通运输局</w:t>
            </w:r>
          </w:p>
        </w:tc>
        <w:tc>
          <w:tcPr>
            <w:tcW w:w="8472" w:type="dxa"/>
            <w:tcBorders>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1.负责全市公路行业突发事件应急管理工作；</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2.负责县道及以下公路建设和管理工作;</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3.负责全市道路运输市场监管工作；</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4.负责城市客运、汽车租赁行业监督指导工作；</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5.负责全市危险品运输监督工作;</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6.组织协调省、市重点物资和紧急客货运输，维护正常交通运输秩序。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jc w:val="both"/>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超出本级交通运输主管部门处置能力或管辖范围的，交通运输主管部门可以采取以下措施：</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1.根据应急处置需要请求上级交通运输主管部门在资金、物资、设备设施、应急队伍等方面给予支持；</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2.请求上级交通运输主管部门协调突发事件发生地周边交通运输主管部门给予支持；</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3.请求上级交通运输主管部门派出现场工作组及有关专业技术人员给予指导；</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4.按照建立的应急协作机制，协调有关部门参与应急处置。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exact"/>
          <w:jc w:val="center"/>
        </w:trPr>
        <w:tc>
          <w:tcPr>
            <w:tcW w:w="1205" w:type="dxa"/>
            <w:tcBorders>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市公安局</w:t>
            </w:r>
          </w:p>
        </w:tc>
        <w:tc>
          <w:tcPr>
            <w:tcW w:w="8472" w:type="dxa"/>
            <w:tcBorders>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1.负责恐怖袭击事件、公众聚集场所安全事故、群体性治安事件和信息安全事件等突发事件应急处置工作;</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2.应对其他突发事件过程中的治安管理和应急抢险救援救灾等工作;</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3.负责道路交通事故，以及应对其他突发事件过程中道路交通管制，协助应急抢险救援工作。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exact"/>
          <w:jc w:val="center"/>
        </w:trPr>
        <w:tc>
          <w:tcPr>
            <w:tcW w:w="1205" w:type="dxa"/>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Calibri" w:hAnsi="Calibri" w:eastAsia="宋体" w:cs="Times New Roman"/>
                <w:kern w:val="2"/>
                <w:sz w:val="24"/>
                <w:szCs w:val="24"/>
                <w:highlight w:val="none"/>
                <w:lang w:val="en-US" w:eastAsia="zh-CN" w:bidi="ar-SA"/>
              </w:rPr>
            </w:pPr>
            <w:r>
              <w:rPr>
                <w:rFonts w:hint="eastAsia"/>
                <w:sz w:val="24"/>
                <w:szCs w:val="24"/>
                <w:highlight w:val="none"/>
                <w:lang w:val="en-US" w:eastAsia="zh-CN"/>
              </w:rPr>
              <w:t>市消防救援大队</w:t>
            </w:r>
          </w:p>
        </w:tc>
        <w:tc>
          <w:tcPr>
            <w:tcW w:w="8472" w:type="dxa"/>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1.组织全市消防指战员处置各类火灾事故；</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Calibri" w:hAnsi="Calibri" w:eastAsia="宋体" w:cs="Times New Roman"/>
                <w:kern w:val="2"/>
                <w:sz w:val="24"/>
                <w:szCs w:val="24"/>
                <w:highlight w:val="none"/>
                <w:lang w:val="en-US" w:eastAsia="zh-CN" w:bidi="ar-SA"/>
              </w:rPr>
            </w:pPr>
            <w:r>
              <w:rPr>
                <w:rFonts w:hint="eastAsia"/>
                <w:sz w:val="24"/>
                <w:szCs w:val="24"/>
                <w:highlight w:val="none"/>
                <w:lang w:val="en-US" w:eastAsia="zh-CN"/>
              </w:rPr>
              <w:t>2.参与突发事件的综合应急救援工作。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exact"/>
          <w:jc w:val="center"/>
        </w:trPr>
        <w:tc>
          <w:tcPr>
            <w:tcW w:w="1205" w:type="dxa"/>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ascii="Calibri" w:hAnsi="Calibri" w:eastAsia="宋体" w:cs="Times New Roman"/>
                <w:kern w:val="2"/>
                <w:sz w:val="24"/>
                <w:szCs w:val="24"/>
                <w:highlight w:val="none"/>
                <w:lang w:val="en-US" w:eastAsia="zh-CN" w:bidi="ar-SA"/>
              </w:rPr>
            </w:pPr>
            <w:r>
              <w:rPr>
                <w:rFonts w:hint="eastAsia"/>
                <w:sz w:val="24"/>
                <w:szCs w:val="24"/>
                <w:highlight w:val="none"/>
                <w:lang w:val="en-US" w:eastAsia="zh-CN"/>
              </w:rPr>
              <w:t>五指山公路分局</w:t>
            </w:r>
          </w:p>
        </w:tc>
        <w:tc>
          <w:tcPr>
            <w:tcW w:w="8472" w:type="dxa"/>
            <w:tcBorders>
              <w:left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负责所管辖国、省干道等桥梁、公路路网运行监测与应急抢险工作；</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Calibri" w:hAnsi="Calibri" w:eastAsia="宋体" w:cs="Times New Roman"/>
                <w:kern w:val="2"/>
                <w:sz w:val="24"/>
                <w:szCs w:val="24"/>
                <w:highlight w:val="none"/>
                <w:lang w:val="en-US" w:eastAsia="zh-CN" w:bidi="ar-SA"/>
              </w:rPr>
            </w:pPr>
            <w:r>
              <w:rPr>
                <w:rFonts w:hint="eastAsia"/>
                <w:sz w:val="24"/>
                <w:szCs w:val="24"/>
                <w:highlight w:val="none"/>
                <w:lang w:val="en-US" w:eastAsia="zh-CN"/>
              </w:rPr>
              <w:t>负责提供大型重型装备参加应急抢险救援救灾工作。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6" w:hRule="exact"/>
          <w:jc w:val="center"/>
        </w:trPr>
        <w:tc>
          <w:tcPr>
            <w:tcW w:w="1205" w:type="dxa"/>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sz w:val="24"/>
                <w:szCs w:val="24"/>
                <w:highlight w:val="none"/>
                <w:lang w:val="en-US" w:eastAsia="zh-CN"/>
              </w:rPr>
            </w:pPr>
            <w:r>
              <w:rPr>
                <w:rFonts w:hint="eastAsia"/>
                <w:sz w:val="24"/>
                <w:szCs w:val="24"/>
                <w:highlight w:val="none"/>
                <w:lang w:val="en-US" w:eastAsia="zh-CN"/>
              </w:rPr>
              <w:t>五指山市各交通运输企业</w:t>
            </w:r>
          </w:p>
        </w:tc>
        <w:tc>
          <w:tcPr>
            <w:tcW w:w="8472" w:type="dxa"/>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1.按照所在地交通运输主管部门制定的交通运输突发事件应急预案，制定本单位交通运输突发事件应急预案。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sz w:val="24"/>
                <w:szCs w:val="24"/>
                <w:highlight w:val="none"/>
                <w:lang w:val="en-US" w:eastAsia="zh-CN"/>
              </w:rPr>
            </w:pPr>
            <w:r>
              <w:rPr>
                <w:rFonts w:hint="eastAsia"/>
                <w:sz w:val="24"/>
                <w:szCs w:val="24"/>
                <w:highlight w:val="none"/>
                <w:lang w:val="en-US" w:eastAsia="zh-CN"/>
              </w:rPr>
              <w:t>2.组织应急救援队伍和相关人员进入待命状态，调集本单位应急处置所需的运力和装备，检测用于疏运转移的交通运输工具和应急通信设备，确保共处于良好状态；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default"/>
                <w:sz w:val="24"/>
                <w:szCs w:val="24"/>
                <w:highlight w:val="none"/>
                <w:lang w:val="en-US" w:eastAsia="zh-CN"/>
              </w:rPr>
            </w:pPr>
            <w:r>
              <w:rPr>
                <w:rFonts w:hint="eastAsia"/>
                <w:sz w:val="24"/>
                <w:szCs w:val="24"/>
                <w:highlight w:val="none"/>
                <w:lang w:val="en-US" w:eastAsia="zh-CN"/>
              </w:rPr>
              <w:t>3.接受交通运输主管部门的组织、调度和指挥。应急处置在市交通运输局的统一领导下进行。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textAlignment w:val="auto"/>
              <w:rPr>
                <w:rFonts w:hint="eastAsia"/>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8" w:hRule="exact"/>
          <w:jc w:val="center"/>
        </w:trPr>
        <w:tc>
          <w:tcPr>
            <w:tcW w:w="1205" w:type="dxa"/>
            <w:tcBorders>
              <w:left w:val="single" w:color="auto" w:sz="4" w:space="0"/>
              <w:right w:val="single" w:color="auto" w:sz="4" w:space="0"/>
            </w:tcBorders>
            <w:noWrap w:val="0"/>
            <w:vAlign w:val="center"/>
          </w:tcPr>
          <w:p>
            <w:pPr>
              <w:pageBreakBefore w:val="0"/>
              <w:numPr>
                <w:ilvl w:val="0"/>
                <w:numId w:val="0"/>
              </w:numPr>
              <w:kinsoku/>
              <w:wordWrap/>
              <w:overflowPunct/>
              <w:topLinePunct w:val="0"/>
              <w:autoSpaceDE/>
              <w:autoSpaceDN/>
              <w:bidi w:val="0"/>
              <w:snapToGrid/>
              <w:spacing w:line="240" w:lineRule="auto"/>
              <w:jc w:val="both"/>
              <w:textAlignment w:val="auto"/>
              <w:rPr>
                <w:rFonts w:hint="eastAsia"/>
                <w:sz w:val="24"/>
                <w:szCs w:val="24"/>
                <w:highlight w:val="none"/>
                <w:lang w:val="en-US" w:eastAsia="zh-CN"/>
              </w:rPr>
            </w:pPr>
            <w:r>
              <w:rPr>
                <w:rFonts w:hint="eastAsia"/>
                <w:sz w:val="24"/>
                <w:szCs w:val="24"/>
                <w:highlight w:val="none"/>
                <w:lang w:val="en-US" w:eastAsia="zh-CN"/>
              </w:rPr>
              <w:t>市应急管理局</w:t>
            </w:r>
          </w:p>
        </w:tc>
        <w:tc>
          <w:tcPr>
            <w:tcW w:w="8472" w:type="dxa"/>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1.组织实施全市突发事件应急管理、安全生产和综合防灾减灾等政策规定、规章制度和发展战略。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2.组织协调全市应急预案体系建设，建立完善事故灾难和自然灾害分级应对制度，组织编制全市总体应急预案和安全生产类、自然灾害类专项预案；指导专项应急预案和市政府有关部门应急预案的制定，综合协调应急预案衔接工作；组织开展预案演练，推动应急避难设施建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3.牵头推进全市统一的应急管理信息系统建设，建立监测预警和灾情报告制度；负责自然灾害综合监测预警工作，组织开展自然灾害综合风险评估工作。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4.组织指导协调安全生产类、自然灾害类等突发事件应急救援。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5.统一协调指挥全市各类应急专业队伍，建立应急协调联动机制。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6.统筹全市应急救援力量建设，负责火灾扑救、抗洪抢险、地质灾害救援、生产安全事故救援等专业应急救援力量建设。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7..组织协调全市灾害救助工作，组织协调灾情核查、损失评估、救灾捐赠工作，管理、分配救灾款物并监督使用。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8.依法行使安全生产综合监督管理职权，指导协调、监督检查市政府有关部门和下一级政府安全生产工作，组织开展安全生产和应急管理考核工作。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9.依法组织生产安全事故调查处理，组织开展自然灾害类突发事件调查评估工作，监督事故查处和责任追究落实情况。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10.制定全市应急救灾物资储备和应急救援装备规划并组织实施。建立健全应急物资信息平台和调拨制度，在救灾时统一调度。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sz w:val="24"/>
                <w:szCs w:val="24"/>
                <w:highlight w:val="none"/>
                <w:lang w:val="en-US" w:eastAsia="zh-CN"/>
              </w:rPr>
            </w:pPr>
            <w:r>
              <w:rPr>
                <w:rFonts w:hint="eastAsia"/>
                <w:sz w:val="24"/>
                <w:szCs w:val="24"/>
                <w:highlight w:val="none"/>
                <w:lang w:val="en-US" w:eastAsia="zh-CN"/>
              </w:rPr>
              <w:t>11.负责全市应急管理、安全生产宣传教育和培训工作。</w:t>
            </w:r>
          </w:p>
        </w:tc>
      </w:tr>
    </w:tbl>
    <w:p>
      <w:pPr>
        <w:bidi w:val="0"/>
        <w:ind w:firstLine="640" w:firstLineChars="200"/>
        <w:rPr>
          <w:rFonts w:hint="eastAsia" w:ascii="黑体" w:hAnsi="黑体" w:eastAsia="黑体" w:cs="黑体"/>
          <w:sz w:val="32"/>
          <w:szCs w:val="32"/>
          <w:highlight w:val="none"/>
          <w:lang w:val="en-US" w:eastAsia="zh-CN"/>
        </w:rPr>
      </w:pPr>
      <w:bookmarkStart w:id="740" w:name="_Toc21946"/>
    </w:p>
    <w:p>
      <w:pPr>
        <w:bidi w:val="0"/>
        <w:ind w:firstLine="640" w:firstLineChars="200"/>
        <w:rPr>
          <w:rFonts w:hint="eastAsia" w:ascii="黑体" w:hAnsi="黑体" w:eastAsia="黑体" w:cs="黑体"/>
          <w:sz w:val="32"/>
          <w:szCs w:val="32"/>
          <w:highlight w:val="none"/>
          <w:lang w:val="en-US" w:eastAsia="zh-CN"/>
        </w:rPr>
      </w:pPr>
    </w:p>
    <w:p>
      <w:pPr>
        <w:bidi w:val="0"/>
        <w:ind w:firstLine="640" w:firstLineChars="200"/>
        <w:rPr>
          <w:rFonts w:hint="eastAsia" w:ascii="黑体" w:hAnsi="黑体" w:eastAsia="黑体" w:cs="黑体"/>
          <w:sz w:val="32"/>
          <w:szCs w:val="32"/>
          <w:highlight w:val="none"/>
          <w:lang w:val="en-US" w:eastAsia="zh-CN"/>
        </w:rPr>
      </w:pPr>
    </w:p>
    <w:p>
      <w:pPr>
        <w:bidi w:val="0"/>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9.4五指山市应急委成员单位通讯录</w:t>
      </w:r>
      <w:bookmarkEnd w:id="740"/>
    </w:p>
    <w:tbl>
      <w:tblPr>
        <w:tblStyle w:val="10"/>
        <w:tblW w:w="87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054"/>
        <w:gridCol w:w="1835"/>
        <w:gridCol w:w="780"/>
        <w:gridCol w:w="1952"/>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t>序号</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t>单位</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t>办公室电话</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t>序号</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t>单位</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b/>
                <w:bCs w:val="0"/>
                <w:color w:val="auto"/>
                <w:kern w:val="0"/>
                <w:sz w:val="24"/>
                <w:szCs w:val="24"/>
                <w:highlight w:val="none"/>
              </w:rPr>
            </w:pPr>
            <w:r>
              <w:rPr>
                <w:rFonts w:hint="eastAsia" w:ascii="宋体" w:hAnsi="宋体" w:eastAsia="宋体" w:cs="宋体"/>
                <w:b/>
                <w:bCs w:val="0"/>
                <w:color w:val="auto"/>
                <w:kern w:val="0"/>
                <w:sz w:val="24"/>
                <w:szCs w:val="24"/>
                <w:highlight w:val="none"/>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市委办公室</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86623036</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6</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市生态环境局</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市政府办公室</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86622436</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7</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市综合行政执法局</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市委组织部</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86622536</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28</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市市政服务中心</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4</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市委宣传部</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86622208</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29</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团市委</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5</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市委政法委</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86631336</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30</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市红十字会</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86633658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6</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市住房和城乡</w:t>
            </w:r>
          </w:p>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建设局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86622547</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31</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市市场监督</w:t>
            </w:r>
          </w:p>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管理局</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7</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市财政局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86622629</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32</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市气象局</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86633635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8</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市发展改革委</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86636360</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33</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五指山供电局</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9</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市粮食和物资准备中心</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86622567</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市森林公安局</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86629279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10</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市自然资源和规划局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86622742</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5</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五指山公路分局</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1</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市农业农村局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86622366</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6</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市消防救援大队</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86626408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2</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市农技农机服务中心</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86630633</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7</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电信五指山分公司</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86628941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3</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市科技和工业信息化局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86633011</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38</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移动五指山分公司</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31864000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4</w:t>
            </w:r>
          </w:p>
        </w:tc>
        <w:tc>
          <w:tcPr>
            <w:tcW w:w="2054"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市人力资源和社会保障局</w:t>
            </w:r>
          </w:p>
        </w:tc>
        <w:tc>
          <w:tcPr>
            <w:tcW w:w="183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86622031</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39</w:t>
            </w:r>
          </w:p>
        </w:tc>
        <w:tc>
          <w:tcPr>
            <w:tcW w:w="1952"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联通五指山分公司</w:t>
            </w:r>
          </w:p>
        </w:tc>
        <w:tc>
          <w:tcPr>
            <w:tcW w:w="1525"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38627007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5</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市教育局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86622183</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40</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省第二人民医院</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6</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市旅游和文化广电体育局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86622185</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41</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市退役军人事务局</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86631271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7</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市卫生健康委</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86638215</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42</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通什镇</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86622109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8</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市公安局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86638370</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43</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毛阳镇</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86720245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19</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市司法局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86622959</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44</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番阳镇</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86730191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0</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市民政局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86622286</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45</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南圣镇</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86830217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1</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市民族事务局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86623022</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46</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水满乡</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86550066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22</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市交通运输局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86622439</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47</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畅好乡</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86510156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23</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市水务局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86622634</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48</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毛道乡</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86755199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24</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市林业局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86622196</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49</w:t>
            </w: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市畅好居</w:t>
            </w: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86862475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57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25</w:t>
            </w:r>
          </w:p>
        </w:tc>
        <w:tc>
          <w:tcPr>
            <w:tcW w:w="2054"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市应急管理局</w:t>
            </w:r>
          </w:p>
        </w:tc>
        <w:tc>
          <w:tcPr>
            <w:tcW w:w="183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86637709</w:t>
            </w:r>
          </w:p>
        </w:tc>
        <w:tc>
          <w:tcPr>
            <w:tcW w:w="780"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p>
        </w:tc>
        <w:tc>
          <w:tcPr>
            <w:tcW w:w="1952"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outlineLvl w:val="9"/>
              <w:rPr>
                <w:rFonts w:hint="eastAsia" w:ascii="宋体" w:hAnsi="宋体" w:eastAsia="宋体" w:cs="宋体"/>
                <w:color w:val="auto"/>
                <w:kern w:val="0"/>
                <w:sz w:val="24"/>
                <w:szCs w:val="24"/>
                <w:highlight w:val="none"/>
                <w:lang w:val="en-US" w:eastAsia="zh-CN" w:bidi="ar-SA"/>
              </w:rPr>
            </w:pPr>
          </w:p>
        </w:tc>
        <w:tc>
          <w:tcPr>
            <w:tcW w:w="1525" w:type="dxa"/>
            <w:noWrap w:val="0"/>
            <w:vAlign w:val="center"/>
          </w:tcPr>
          <w:p>
            <w:pPr>
              <w:pageBreakBefore w:val="0"/>
              <w:widowControl/>
              <w:kinsoku/>
              <w:wordWrap/>
              <w:overflowPunct/>
              <w:topLinePunct w:val="0"/>
              <w:autoSpaceDE/>
              <w:autoSpaceDN/>
              <w:bidi w:val="0"/>
              <w:adjustRightInd/>
              <w:snapToGrid/>
              <w:spacing w:beforeAutospacing="0" w:afterAutospacing="0" w:line="480" w:lineRule="exact"/>
              <w:ind w:left="0" w:right="0" w:firstLine="0" w:firstLineChars="0"/>
              <w:jc w:val="center"/>
              <w:textAlignment w:val="auto"/>
              <w:outlineLvl w:val="9"/>
              <w:rPr>
                <w:rFonts w:hint="eastAsia" w:ascii="宋体" w:hAnsi="宋体" w:eastAsia="宋体" w:cs="宋体"/>
                <w:color w:val="auto"/>
                <w:kern w:val="0"/>
                <w:sz w:val="24"/>
                <w:szCs w:val="24"/>
                <w:highlight w:val="none"/>
                <w:lang w:val="en-US" w:eastAsia="zh-CN"/>
              </w:rPr>
            </w:pPr>
          </w:p>
        </w:tc>
      </w:tr>
    </w:tbl>
    <w:p>
      <w:pPr>
        <w:tabs>
          <w:tab w:val="left" w:pos="546"/>
        </w:tabs>
        <w:ind w:firstLine="640" w:firstLineChars="200"/>
        <w:rPr>
          <w:rFonts w:hint="eastAsia" w:ascii="黑体" w:hAnsi="黑体" w:eastAsia="黑体" w:cs="宋体"/>
          <w:color w:val="auto"/>
          <w:kern w:val="0"/>
          <w:sz w:val="32"/>
          <w:szCs w:val="32"/>
          <w:highlight w:val="none"/>
          <w:lang w:val="zh-CN" w:eastAsia="zh-CN"/>
        </w:rPr>
      </w:pPr>
      <w:r>
        <w:rPr>
          <w:rFonts w:hint="eastAsia" w:ascii="黑体" w:hAnsi="黑体" w:eastAsia="黑体" w:cs="宋体"/>
          <w:color w:val="auto"/>
          <w:kern w:val="0"/>
          <w:sz w:val="32"/>
          <w:szCs w:val="32"/>
          <w:highlight w:val="none"/>
          <w:lang w:val="en-US" w:eastAsia="zh-CN"/>
        </w:rPr>
        <w:t>9.5</w:t>
      </w:r>
      <w:r>
        <w:rPr>
          <w:rFonts w:hint="eastAsia" w:ascii="黑体" w:hAnsi="黑体" w:eastAsia="黑体" w:cs="宋体"/>
          <w:color w:val="auto"/>
          <w:kern w:val="0"/>
          <w:sz w:val="32"/>
          <w:szCs w:val="32"/>
          <w:highlight w:val="none"/>
          <w:lang w:val="zh-CN" w:eastAsia="zh-CN"/>
        </w:rPr>
        <w:t>衔接预案名录</w:t>
      </w:r>
    </w:p>
    <w:tbl>
      <w:tblPr>
        <w:tblStyle w:val="10"/>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8940" w:type="dxa"/>
            <w:noWrap w:val="0"/>
            <w:vAlign w:val="center"/>
          </w:tcPr>
          <w:p>
            <w:pPr>
              <w:pageBreakBefore w:val="0"/>
              <w:kinsoku/>
              <w:wordWrap/>
              <w:overflowPunct/>
              <w:topLinePunct w:val="0"/>
              <w:autoSpaceDE/>
              <w:autoSpaceDN/>
              <w:bidi w:val="0"/>
              <w:snapToGrid/>
              <w:spacing w:line="360" w:lineRule="auto"/>
              <w:jc w:val="both"/>
              <w:textAlignment w:val="auto"/>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交通运输综合应急预案（交通运输部制定）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8940" w:type="dxa"/>
            <w:noWrap w:val="0"/>
            <w:vAlign w:val="center"/>
          </w:tcPr>
          <w:p>
            <w:pPr>
              <w:pageBreakBefore w:val="0"/>
              <w:kinsoku/>
              <w:wordWrap/>
              <w:overflowPunct/>
              <w:topLinePunct w:val="0"/>
              <w:autoSpaceDE/>
              <w:autoSpaceDN/>
              <w:bidi w:val="0"/>
              <w:snapToGrid/>
              <w:spacing w:line="360" w:lineRule="auto"/>
              <w:jc w:val="both"/>
              <w:textAlignment w:val="auto"/>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海南省交通运输突发事件综合应急预案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8940" w:type="dxa"/>
            <w:noWrap w:val="0"/>
            <w:vAlign w:val="center"/>
          </w:tcPr>
          <w:p>
            <w:pPr>
              <w:pageBreakBefore w:val="0"/>
              <w:kinsoku/>
              <w:wordWrap/>
              <w:overflowPunct/>
              <w:topLinePunct w:val="0"/>
              <w:autoSpaceDE/>
              <w:autoSpaceDN/>
              <w:bidi w:val="0"/>
              <w:snapToGrid/>
              <w:spacing w:line="360" w:lineRule="auto"/>
              <w:jc w:val="both"/>
              <w:textAlignment w:val="auto"/>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五指山市突发事件总体应急预案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8940" w:type="dxa"/>
            <w:noWrap w:val="0"/>
            <w:vAlign w:val="center"/>
          </w:tcPr>
          <w:p>
            <w:pPr>
              <w:pageBreakBefore w:val="0"/>
              <w:kinsoku/>
              <w:wordWrap/>
              <w:overflowPunct/>
              <w:topLinePunct w:val="0"/>
              <w:autoSpaceDE/>
              <w:autoSpaceDN/>
              <w:bidi w:val="0"/>
              <w:snapToGrid/>
              <w:spacing w:line="360" w:lineRule="auto"/>
              <w:jc w:val="both"/>
              <w:textAlignment w:val="auto"/>
              <w:rPr>
                <w:rFonts w:hint="eastAsia" w:ascii="新宋体" w:hAnsi="新宋体" w:eastAsia="新宋体" w:cs="新宋体"/>
                <w:color w:val="auto"/>
                <w:sz w:val="24"/>
                <w:szCs w:val="24"/>
                <w:highlight w:val="none"/>
                <w:lang w:val="zh-CN"/>
              </w:rPr>
            </w:pPr>
            <w:r>
              <w:rPr>
                <w:rFonts w:hint="eastAsia" w:ascii="新宋体" w:hAnsi="新宋体" w:eastAsia="新宋体" w:cs="新宋体"/>
                <w:color w:val="auto"/>
                <w:sz w:val="24"/>
                <w:szCs w:val="24"/>
                <w:highlight w:val="none"/>
                <w:lang w:val="zh-CN"/>
              </w:rPr>
              <w:t>五指山市防汛防洪防旱应急预案</w:t>
            </w:r>
          </w:p>
        </w:tc>
      </w:tr>
    </w:tbl>
    <w:p>
      <w:pPr>
        <w:bidi w:val="0"/>
        <w:ind w:firstLine="640" w:firstLineChars="200"/>
        <w:rPr>
          <w:rFonts w:hint="eastAsia"/>
          <w:highlight w:val="none"/>
          <w:lang w:val="en-US" w:eastAsia="zh-CN"/>
        </w:rPr>
      </w:pPr>
      <w:r>
        <w:rPr>
          <w:rFonts w:hint="eastAsia" w:ascii="黑体" w:hAnsi="黑体" w:eastAsia="黑体" w:cs="黑体"/>
          <w:sz w:val="32"/>
          <w:szCs w:val="32"/>
          <w:highlight w:val="none"/>
          <w:lang w:val="en-US" w:eastAsia="zh-CN"/>
        </w:rPr>
        <w:t>9.6 五指山市交通行业突发事件应急预案体系</w:t>
      </w:r>
    </w:p>
    <w:tbl>
      <w:tblPr>
        <w:tblStyle w:val="10"/>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079" w:type="dxa"/>
            <w:noWrap w:val="0"/>
            <w:vAlign w:val="center"/>
          </w:tcPr>
          <w:p>
            <w:pPr>
              <w:jc w:val="center"/>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发布单位</w:t>
            </w:r>
          </w:p>
        </w:tc>
        <w:tc>
          <w:tcPr>
            <w:tcW w:w="6700" w:type="dxa"/>
            <w:noWrap w:val="0"/>
            <w:vAlign w:val="center"/>
          </w:tcPr>
          <w:p>
            <w:pPr>
              <w:jc w:val="center"/>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预案名称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2079" w:type="dxa"/>
            <w:noWrap w:val="0"/>
            <w:vAlign w:val="center"/>
          </w:tcPr>
          <w:p>
            <w:pPr>
              <w:spacing w:line="24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市应急管理局</w:t>
            </w:r>
          </w:p>
        </w:tc>
        <w:tc>
          <w:tcPr>
            <w:tcW w:w="6700" w:type="dxa"/>
            <w:noWrap w:val="0"/>
            <w:vAlign w:val="center"/>
          </w:tcPr>
          <w:p>
            <w:pPr>
              <w:pageBreakBefore w:val="0"/>
              <w:kinsoku/>
              <w:wordWrap/>
              <w:overflowPunct/>
              <w:topLinePunct w:val="0"/>
              <w:autoSpaceDE/>
              <w:autoSpaceDN/>
              <w:bidi w:val="0"/>
              <w:snapToGrid/>
              <w:spacing w:line="360" w:lineRule="auto"/>
              <w:jc w:val="both"/>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zh-CN" w:eastAsia="zh-CN"/>
              </w:rPr>
              <w:t>五</w:t>
            </w:r>
            <w:r>
              <w:rPr>
                <w:rFonts w:hint="eastAsia" w:ascii="新宋体" w:hAnsi="新宋体" w:eastAsia="新宋体" w:cs="新宋体"/>
                <w:color w:val="auto"/>
                <w:sz w:val="24"/>
                <w:szCs w:val="24"/>
                <w:highlight w:val="none"/>
                <w:lang w:val="en-US" w:eastAsia="zh-CN"/>
              </w:rPr>
              <w:t>指山</w:t>
            </w:r>
            <w:r>
              <w:rPr>
                <w:rFonts w:hint="eastAsia" w:ascii="新宋体" w:hAnsi="新宋体" w:eastAsia="新宋体" w:cs="新宋体"/>
                <w:color w:val="auto"/>
                <w:sz w:val="24"/>
                <w:szCs w:val="24"/>
                <w:highlight w:val="none"/>
                <w:lang w:val="zh-CN" w:eastAsia="zh-CN"/>
              </w:rPr>
              <w:t>市突发事件总体</w:t>
            </w:r>
            <w:r>
              <w:rPr>
                <w:rFonts w:hint="eastAsia" w:ascii="新宋体" w:hAnsi="新宋体" w:eastAsia="新宋体" w:cs="新宋体"/>
                <w:color w:val="auto"/>
                <w:sz w:val="24"/>
                <w:szCs w:val="24"/>
                <w:highlight w:val="none"/>
                <w:lang w:val="zh-CN"/>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2079" w:type="dxa"/>
            <w:vMerge w:val="restart"/>
            <w:noWrap w:val="0"/>
            <w:vAlign w:val="center"/>
          </w:tcPr>
          <w:p>
            <w:pPr>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市交通</w:t>
            </w:r>
            <w:r>
              <w:rPr>
                <w:rFonts w:hint="eastAsia" w:ascii="新宋体" w:hAnsi="新宋体" w:eastAsia="新宋体" w:cs="新宋体"/>
                <w:color w:val="auto"/>
                <w:sz w:val="24"/>
                <w:szCs w:val="24"/>
                <w:highlight w:val="none"/>
                <w:lang w:eastAsia="zh-CN"/>
              </w:rPr>
              <w:t>运输</w:t>
            </w:r>
            <w:r>
              <w:rPr>
                <w:rFonts w:hint="eastAsia" w:ascii="新宋体" w:hAnsi="新宋体" w:eastAsia="新宋体" w:cs="新宋体"/>
                <w:color w:val="auto"/>
                <w:sz w:val="24"/>
                <w:szCs w:val="24"/>
                <w:highlight w:val="none"/>
              </w:rPr>
              <w:t>局</w:t>
            </w:r>
          </w:p>
        </w:tc>
        <w:tc>
          <w:tcPr>
            <w:tcW w:w="6700" w:type="dxa"/>
            <w:noWrap w:val="0"/>
            <w:vAlign w:val="center"/>
          </w:tcPr>
          <w:p>
            <w:pPr>
              <w:pageBreakBefore w:val="0"/>
              <w:kinsoku/>
              <w:wordWrap/>
              <w:overflowPunct/>
              <w:topLinePunct w:val="0"/>
              <w:autoSpaceDE/>
              <w:autoSpaceDN/>
              <w:bidi w:val="0"/>
              <w:snapToGrid/>
              <w:spacing w:line="480" w:lineRule="auto"/>
              <w:jc w:val="both"/>
              <w:textAlignment w:val="auto"/>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五指山市交通运输局交通运输行业突发事件综合应急预案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2079" w:type="dxa"/>
            <w:vMerge w:val="continue"/>
            <w:noWrap w:val="0"/>
            <w:vAlign w:val="center"/>
          </w:tcPr>
          <w:p>
            <w:pPr>
              <w:jc w:val="both"/>
              <w:rPr>
                <w:rFonts w:hint="eastAsia" w:ascii="新宋体" w:hAnsi="新宋体" w:eastAsia="新宋体" w:cs="新宋体"/>
                <w:color w:val="auto"/>
                <w:sz w:val="24"/>
                <w:szCs w:val="24"/>
                <w:highlight w:val="none"/>
              </w:rPr>
            </w:pPr>
          </w:p>
        </w:tc>
        <w:tc>
          <w:tcPr>
            <w:tcW w:w="6700" w:type="dxa"/>
            <w:noWrap w:val="0"/>
            <w:vAlign w:val="center"/>
          </w:tcPr>
          <w:p>
            <w:pPr>
              <w:pageBreakBefore w:val="0"/>
              <w:kinsoku/>
              <w:wordWrap/>
              <w:overflowPunct/>
              <w:topLinePunct w:val="0"/>
              <w:autoSpaceDE/>
              <w:autoSpaceDN/>
              <w:bidi w:val="0"/>
              <w:snapToGrid/>
              <w:spacing w:line="480" w:lineRule="auto"/>
              <w:jc w:val="both"/>
              <w:textAlignment w:val="auto"/>
              <w:rPr>
                <w:rFonts w:hint="eastAsia" w:ascii="新宋体" w:hAnsi="新宋体" w:eastAsia="新宋体" w:cs="新宋体"/>
                <w:color w:val="auto"/>
                <w:kern w:val="2"/>
                <w:sz w:val="24"/>
                <w:szCs w:val="24"/>
                <w:highlight w:val="none"/>
                <w:lang w:val="en-US" w:eastAsia="zh-CN" w:bidi="ar-SA"/>
              </w:rPr>
            </w:pPr>
            <w:r>
              <w:rPr>
                <w:rFonts w:hint="eastAsia" w:ascii="新宋体" w:hAnsi="新宋体" w:eastAsia="新宋体" w:cs="新宋体"/>
                <w:color w:val="auto"/>
                <w:sz w:val="24"/>
                <w:szCs w:val="24"/>
                <w:highlight w:val="none"/>
                <w:lang w:val="en-US" w:eastAsia="zh-CN"/>
              </w:rPr>
              <w:t>五指山市交通运输局交通运输保障应急预案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2079" w:type="dxa"/>
            <w:vMerge w:val="restart"/>
            <w:noWrap w:val="0"/>
            <w:vAlign w:val="center"/>
          </w:tcPr>
          <w:p>
            <w:pPr>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下属单位</w:t>
            </w:r>
          </w:p>
        </w:tc>
        <w:tc>
          <w:tcPr>
            <w:tcW w:w="6700" w:type="dxa"/>
            <w:noWrap w:val="0"/>
            <w:vAlign w:val="center"/>
          </w:tcPr>
          <w:p>
            <w:pPr>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交通行业重特大安全事故应急预案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2079" w:type="dxa"/>
            <w:vMerge w:val="continue"/>
            <w:noWrap w:val="0"/>
            <w:vAlign w:val="center"/>
          </w:tcPr>
          <w:p>
            <w:pPr>
              <w:jc w:val="both"/>
              <w:rPr>
                <w:rFonts w:hint="eastAsia" w:ascii="新宋体" w:hAnsi="新宋体" w:eastAsia="新宋体" w:cs="新宋体"/>
                <w:color w:val="auto"/>
                <w:sz w:val="24"/>
                <w:szCs w:val="24"/>
                <w:highlight w:val="none"/>
              </w:rPr>
            </w:pPr>
          </w:p>
        </w:tc>
        <w:tc>
          <w:tcPr>
            <w:tcW w:w="6700" w:type="dxa"/>
            <w:noWrap w:val="0"/>
            <w:vAlign w:val="center"/>
          </w:tcPr>
          <w:p>
            <w:pPr>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各专项应急救援预案</w:t>
            </w:r>
          </w:p>
        </w:tc>
      </w:tr>
    </w:tbl>
    <w:p>
      <w:pPr>
        <w:bidi w:val="0"/>
        <w:ind w:firstLine="640" w:firstLineChars="200"/>
        <w:rPr>
          <w:rFonts w:hint="eastAsia" w:ascii="黑体" w:hAnsi="黑体" w:eastAsia="黑体" w:cs="黑体"/>
          <w:sz w:val="32"/>
          <w:szCs w:val="32"/>
          <w:highlight w:val="none"/>
          <w:lang w:val="en-US" w:eastAsia="zh-CN"/>
        </w:rPr>
      </w:pPr>
      <w:bookmarkStart w:id="741" w:name="_Toc14037"/>
      <w:r>
        <w:rPr>
          <w:rFonts w:hint="eastAsia" w:ascii="黑体" w:hAnsi="黑体" w:eastAsia="黑体" w:cs="黑体"/>
          <w:sz w:val="32"/>
          <w:szCs w:val="32"/>
          <w:highlight w:val="none"/>
          <w:lang w:val="en-US" w:eastAsia="zh-CN"/>
        </w:rPr>
        <w:t>9.7机动运力明细表</w:t>
      </w:r>
      <w:bookmarkEnd w:id="741"/>
    </w:p>
    <w:tbl>
      <w:tblPr>
        <w:tblStyle w:val="10"/>
        <w:tblW w:w="8745" w:type="dxa"/>
        <w:jc w:val="center"/>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293"/>
        <w:gridCol w:w="1845"/>
        <w:gridCol w:w="1192"/>
        <w:gridCol w:w="1393"/>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序号</w:t>
            </w:r>
          </w:p>
        </w:tc>
        <w:tc>
          <w:tcPr>
            <w:tcW w:w="2293"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公司名称</w:t>
            </w: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车辆牌号</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座位</w:t>
            </w:r>
          </w:p>
        </w:tc>
        <w:tc>
          <w:tcPr>
            <w:tcW w:w="1393"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审批时间</w:t>
            </w:r>
          </w:p>
        </w:tc>
        <w:tc>
          <w:tcPr>
            <w:tcW w:w="1330"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2293" w:type="dxa"/>
            <w:vMerge w:val="restart"/>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五指山海汽运输有限公司</w:t>
            </w: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琼D01702</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45</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2293" w:type="dxa"/>
            <w:vMerge w:val="continue"/>
            <w:noWrap w:val="0"/>
            <w:vAlign w:val="center"/>
          </w:tcPr>
          <w:p>
            <w:pPr>
              <w:jc w:val="center"/>
              <w:rPr>
                <w:rFonts w:hint="eastAsia" w:ascii="新宋体" w:hAnsi="新宋体" w:eastAsia="新宋体" w:cs="新宋体"/>
                <w:color w:val="auto"/>
                <w:sz w:val="24"/>
                <w:szCs w:val="24"/>
                <w:highlight w:val="none"/>
              </w:rPr>
            </w:pP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琼D01768</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45</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3</w:t>
            </w:r>
          </w:p>
        </w:tc>
        <w:tc>
          <w:tcPr>
            <w:tcW w:w="2293" w:type="dxa"/>
            <w:vMerge w:val="continue"/>
            <w:noWrap w:val="0"/>
            <w:vAlign w:val="center"/>
          </w:tcPr>
          <w:p>
            <w:pPr>
              <w:jc w:val="center"/>
              <w:rPr>
                <w:rFonts w:hint="eastAsia" w:ascii="新宋体" w:hAnsi="新宋体" w:eastAsia="新宋体" w:cs="新宋体"/>
                <w:color w:val="auto"/>
                <w:sz w:val="24"/>
                <w:szCs w:val="24"/>
                <w:highlight w:val="none"/>
              </w:rPr>
            </w:pP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琼D01766</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45</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4</w:t>
            </w:r>
          </w:p>
        </w:tc>
        <w:tc>
          <w:tcPr>
            <w:tcW w:w="2293" w:type="dxa"/>
            <w:vMerge w:val="continue"/>
            <w:noWrap w:val="0"/>
            <w:vAlign w:val="center"/>
          </w:tcPr>
          <w:p>
            <w:pPr>
              <w:jc w:val="center"/>
              <w:rPr>
                <w:rFonts w:hint="eastAsia" w:ascii="新宋体" w:hAnsi="新宋体" w:eastAsia="新宋体" w:cs="新宋体"/>
                <w:color w:val="auto"/>
                <w:sz w:val="24"/>
                <w:szCs w:val="24"/>
                <w:highlight w:val="none"/>
              </w:rPr>
            </w:pP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琼D01765</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45</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5</w:t>
            </w:r>
          </w:p>
        </w:tc>
        <w:tc>
          <w:tcPr>
            <w:tcW w:w="2293" w:type="dxa"/>
            <w:vMerge w:val="continue"/>
            <w:noWrap w:val="0"/>
            <w:vAlign w:val="center"/>
          </w:tcPr>
          <w:p>
            <w:pPr>
              <w:jc w:val="center"/>
              <w:rPr>
                <w:rFonts w:hint="eastAsia" w:ascii="新宋体" w:hAnsi="新宋体" w:eastAsia="新宋体" w:cs="新宋体"/>
                <w:color w:val="auto"/>
                <w:sz w:val="24"/>
                <w:szCs w:val="24"/>
                <w:highlight w:val="none"/>
              </w:rPr>
            </w:pP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琼D01768</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45</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6</w:t>
            </w:r>
          </w:p>
        </w:tc>
        <w:tc>
          <w:tcPr>
            <w:tcW w:w="2293" w:type="dxa"/>
            <w:vMerge w:val="restart"/>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五指山六龙观光巴士有限公司</w:t>
            </w: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琼</w:t>
            </w:r>
            <w:r>
              <w:rPr>
                <w:rFonts w:hint="eastAsia" w:ascii="新宋体" w:hAnsi="新宋体" w:eastAsia="新宋体" w:cs="新宋体"/>
                <w:color w:val="auto"/>
                <w:sz w:val="24"/>
                <w:szCs w:val="24"/>
                <w:highlight w:val="none"/>
                <w:lang w:val="en-US" w:eastAsia="zh-CN"/>
              </w:rPr>
              <w:t>D09909D</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19</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7</w:t>
            </w:r>
          </w:p>
        </w:tc>
        <w:tc>
          <w:tcPr>
            <w:tcW w:w="2293" w:type="dxa"/>
            <w:vMerge w:val="continue"/>
            <w:noWrap w:val="0"/>
            <w:vAlign w:val="center"/>
          </w:tcPr>
          <w:p>
            <w:pPr>
              <w:jc w:val="center"/>
              <w:rPr>
                <w:rFonts w:hint="eastAsia" w:ascii="新宋体" w:hAnsi="新宋体" w:eastAsia="新宋体" w:cs="新宋体"/>
                <w:color w:val="auto"/>
                <w:sz w:val="24"/>
                <w:szCs w:val="24"/>
                <w:highlight w:val="none"/>
              </w:rPr>
            </w:pP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琼</w:t>
            </w:r>
            <w:r>
              <w:rPr>
                <w:rFonts w:hint="eastAsia" w:ascii="新宋体" w:hAnsi="新宋体" w:eastAsia="新宋体" w:cs="新宋体"/>
                <w:color w:val="auto"/>
                <w:sz w:val="24"/>
                <w:szCs w:val="24"/>
                <w:highlight w:val="none"/>
                <w:lang w:val="en-US" w:eastAsia="zh-CN"/>
              </w:rPr>
              <w:t>D09907D</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19</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8</w:t>
            </w:r>
          </w:p>
        </w:tc>
        <w:tc>
          <w:tcPr>
            <w:tcW w:w="2293" w:type="dxa"/>
            <w:vMerge w:val="continue"/>
            <w:noWrap w:val="0"/>
            <w:vAlign w:val="center"/>
          </w:tcPr>
          <w:p>
            <w:pPr>
              <w:jc w:val="center"/>
              <w:rPr>
                <w:rFonts w:hint="eastAsia" w:ascii="新宋体" w:hAnsi="新宋体" w:eastAsia="新宋体" w:cs="新宋体"/>
                <w:color w:val="auto"/>
                <w:sz w:val="24"/>
                <w:szCs w:val="24"/>
                <w:highlight w:val="none"/>
              </w:rPr>
            </w:pP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琼</w:t>
            </w:r>
            <w:r>
              <w:rPr>
                <w:rFonts w:hint="eastAsia" w:ascii="新宋体" w:hAnsi="新宋体" w:eastAsia="新宋体" w:cs="新宋体"/>
                <w:color w:val="auto"/>
                <w:sz w:val="24"/>
                <w:szCs w:val="24"/>
                <w:highlight w:val="none"/>
                <w:lang w:val="en-US" w:eastAsia="zh-CN"/>
              </w:rPr>
              <w:t>D09978D</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19</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9</w:t>
            </w:r>
          </w:p>
        </w:tc>
        <w:tc>
          <w:tcPr>
            <w:tcW w:w="2293" w:type="dxa"/>
            <w:vMerge w:val="continue"/>
            <w:noWrap w:val="0"/>
            <w:vAlign w:val="center"/>
          </w:tcPr>
          <w:p>
            <w:pPr>
              <w:jc w:val="center"/>
              <w:rPr>
                <w:rFonts w:hint="eastAsia" w:ascii="新宋体" w:hAnsi="新宋体" w:eastAsia="新宋体" w:cs="新宋体"/>
                <w:color w:val="auto"/>
                <w:sz w:val="24"/>
                <w:szCs w:val="24"/>
                <w:highlight w:val="none"/>
              </w:rPr>
            </w:pP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琼</w:t>
            </w:r>
            <w:r>
              <w:rPr>
                <w:rFonts w:hint="eastAsia" w:ascii="新宋体" w:hAnsi="新宋体" w:eastAsia="新宋体" w:cs="新宋体"/>
                <w:color w:val="auto"/>
                <w:sz w:val="24"/>
                <w:szCs w:val="24"/>
                <w:highlight w:val="none"/>
                <w:lang w:val="en-US" w:eastAsia="zh-CN"/>
              </w:rPr>
              <w:t>D09998D</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19</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92" w:type="dxa"/>
            <w:noWrap w:val="0"/>
            <w:vAlign w:val="center"/>
          </w:tcPr>
          <w:p>
            <w:pPr>
              <w:jc w:val="center"/>
              <w:rPr>
                <w:rFonts w:hint="default"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10</w:t>
            </w:r>
          </w:p>
        </w:tc>
        <w:tc>
          <w:tcPr>
            <w:tcW w:w="2293" w:type="dxa"/>
            <w:vMerge w:val="continue"/>
            <w:noWrap w:val="0"/>
            <w:vAlign w:val="center"/>
          </w:tcPr>
          <w:p>
            <w:pPr>
              <w:jc w:val="center"/>
              <w:rPr>
                <w:rFonts w:hint="eastAsia" w:ascii="新宋体" w:hAnsi="新宋体" w:eastAsia="新宋体" w:cs="新宋体"/>
                <w:color w:val="auto"/>
                <w:sz w:val="24"/>
                <w:szCs w:val="24"/>
                <w:highlight w:val="none"/>
              </w:rPr>
            </w:pPr>
          </w:p>
        </w:tc>
        <w:tc>
          <w:tcPr>
            <w:tcW w:w="1845"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琼</w:t>
            </w:r>
            <w:r>
              <w:rPr>
                <w:rFonts w:hint="eastAsia" w:ascii="新宋体" w:hAnsi="新宋体" w:eastAsia="新宋体" w:cs="新宋体"/>
                <w:color w:val="auto"/>
                <w:sz w:val="24"/>
                <w:szCs w:val="24"/>
                <w:highlight w:val="none"/>
                <w:lang w:val="en-US" w:eastAsia="zh-CN"/>
              </w:rPr>
              <w:t>D09999D</w:t>
            </w:r>
          </w:p>
        </w:tc>
        <w:tc>
          <w:tcPr>
            <w:tcW w:w="11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19</w:t>
            </w:r>
          </w:p>
        </w:tc>
        <w:tc>
          <w:tcPr>
            <w:tcW w:w="1393" w:type="dxa"/>
            <w:noWrap w:val="0"/>
            <w:vAlign w:val="center"/>
          </w:tcPr>
          <w:p>
            <w:pPr>
              <w:jc w:val="center"/>
              <w:rPr>
                <w:rFonts w:hint="eastAsia" w:ascii="新宋体" w:hAnsi="新宋体" w:eastAsia="新宋体" w:cs="新宋体"/>
                <w:color w:val="auto"/>
                <w:sz w:val="24"/>
                <w:szCs w:val="24"/>
                <w:highlight w:val="none"/>
              </w:rPr>
            </w:pPr>
          </w:p>
        </w:tc>
        <w:tc>
          <w:tcPr>
            <w:tcW w:w="1330" w:type="dxa"/>
            <w:noWrap w:val="0"/>
            <w:vAlign w:val="center"/>
          </w:tcPr>
          <w:p>
            <w:pPr>
              <w:jc w:val="center"/>
              <w:rPr>
                <w:rFonts w:hint="eastAsia"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692" w:type="dxa"/>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合计</w:t>
            </w:r>
          </w:p>
        </w:tc>
        <w:tc>
          <w:tcPr>
            <w:tcW w:w="8053" w:type="dxa"/>
            <w:gridSpan w:val="5"/>
            <w:noWrap w:val="0"/>
            <w:vAlign w:val="center"/>
          </w:tcPr>
          <w:p>
            <w:pPr>
              <w:jc w:val="center"/>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10</w:t>
            </w:r>
            <w:r>
              <w:rPr>
                <w:rFonts w:hint="eastAsia" w:ascii="新宋体" w:hAnsi="新宋体" w:eastAsia="新宋体" w:cs="新宋体"/>
                <w:color w:val="auto"/>
                <w:sz w:val="24"/>
                <w:szCs w:val="24"/>
                <w:highlight w:val="none"/>
              </w:rPr>
              <w:t>辆</w:t>
            </w:r>
          </w:p>
        </w:tc>
      </w:tr>
    </w:tbl>
    <w:p>
      <w:pPr>
        <w:bidi w:val="0"/>
        <w:ind w:firstLine="640" w:firstLineChars="200"/>
        <w:rPr>
          <w:rFonts w:hint="eastAsia" w:ascii="黑体" w:hAnsi="黑体" w:eastAsia="黑体" w:cs="黑体"/>
          <w:sz w:val="32"/>
          <w:szCs w:val="32"/>
          <w:highlight w:val="none"/>
          <w:lang w:val="en-US" w:eastAsia="zh-CN"/>
        </w:rPr>
      </w:pPr>
    </w:p>
    <w:p>
      <w:pPr>
        <w:bidi w:val="0"/>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9.8应急物资储备表</w:t>
      </w:r>
    </w:p>
    <w:tbl>
      <w:tblPr>
        <w:tblStyle w:val="10"/>
        <w:tblW w:w="87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0"/>
        <w:gridCol w:w="6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66" w:hRule="atLeast"/>
          <w:jc w:val="center"/>
        </w:trPr>
        <w:tc>
          <w:tcPr>
            <w:tcW w:w="1850" w:type="dxa"/>
            <w:noWrap w:val="0"/>
            <w:vAlign w:val="center"/>
          </w:tcPr>
          <w:p>
            <w:pPr>
              <w:pStyle w:val="12"/>
              <w:spacing w:before="132"/>
              <w:ind w:left="287"/>
              <w:jc w:val="center"/>
              <w:rPr>
                <w:rFonts w:hint="eastAsia" w:eastAsia="宋体"/>
                <w:b/>
                <w:bCs/>
                <w:color w:val="auto"/>
                <w:sz w:val="24"/>
                <w:szCs w:val="24"/>
                <w:highlight w:val="none"/>
                <w:lang w:eastAsia="zh-CN"/>
              </w:rPr>
            </w:pPr>
            <w:r>
              <w:rPr>
                <w:rFonts w:hint="eastAsia"/>
                <w:b/>
                <w:bCs/>
                <w:color w:val="auto"/>
                <w:sz w:val="24"/>
                <w:szCs w:val="24"/>
                <w:highlight w:val="none"/>
                <w:lang w:val="en-US" w:eastAsia="zh-CN"/>
              </w:rPr>
              <w:t>类别</w:t>
            </w:r>
          </w:p>
        </w:tc>
        <w:tc>
          <w:tcPr>
            <w:tcW w:w="6869" w:type="dxa"/>
            <w:noWrap w:val="0"/>
            <w:vAlign w:val="center"/>
          </w:tcPr>
          <w:p>
            <w:pPr>
              <w:pStyle w:val="12"/>
              <w:spacing w:before="132"/>
              <w:ind w:left="489"/>
              <w:jc w:val="center"/>
              <w:rPr>
                <w:rFonts w:hint="default" w:eastAsia="宋体"/>
                <w:b/>
                <w:bCs/>
                <w:color w:val="auto"/>
                <w:sz w:val="24"/>
                <w:szCs w:val="24"/>
                <w:highlight w:val="none"/>
                <w:lang w:val="en-US" w:eastAsia="zh-CN"/>
              </w:rPr>
            </w:pPr>
            <w:r>
              <w:rPr>
                <w:rFonts w:hint="eastAsia"/>
                <w:b/>
                <w:bCs/>
                <w:color w:val="auto"/>
                <w:sz w:val="24"/>
                <w:szCs w:val="24"/>
                <w:highlight w:val="none"/>
                <w:lang w:val="en-US" w:eastAsia="zh-CN"/>
              </w:rPr>
              <w:t>物资名称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2" w:hRule="atLeast"/>
          <w:jc w:val="center"/>
        </w:trPr>
        <w:tc>
          <w:tcPr>
            <w:tcW w:w="1850" w:type="dxa"/>
            <w:noWrap w:val="0"/>
            <w:vAlign w:val="center"/>
          </w:tcPr>
          <w:p>
            <w:pPr>
              <w:pStyle w:val="12"/>
              <w:jc w:val="center"/>
              <w:rPr>
                <w:rFonts w:hint="eastAsia" w:ascii="Times New Roman" w:eastAsia="宋体"/>
                <w:color w:val="auto"/>
                <w:sz w:val="24"/>
                <w:szCs w:val="24"/>
                <w:highlight w:val="none"/>
                <w:lang w:val="en-US" w:eastAsia="zh-CN"/>
              </w:rPr>
            </w:pPr>
            <w:r>
              <w:rPr>
                <w:rFonts w:hint="eastAsia" w:ascii="Times New Roman"/>
                <w:color w:val="auto"/>
                <w:sz w:val="24"/>
                <w:szCs w:val="24"/>
                <w:highlight w:val="none"/>
                <w:lang w:val="en-US" w:eastAsia="zh-CN"/>
              </w:rPr>
              <w:t>生活类</w:t>
            </w:r>
          </w:p>
        </w:tc>
        <w:tc>
          <w:tcPr>
            <w:tcW w:w="6869" w:type="dxa"/>
            <w:noWrap w:val="0"/>
            <w:vAlign w:val="center"/>
          </w:tcPr>
          <w:p>
            <w:pPr>
              <w:pStyle w:val="12"/>
              <w:jc w:val="left"/>
              <w:rPr>
                <w:rFonts w:hint="default" w:ascii="Times New Roman" w:eastAsia="宋体"/>
                <w:color w:val="auto"/>
                <w:sz w:val="24"/>
                <w:szCs w:val="24"/>
                <w:highlight w:val="none"/>
                <w:lang w:val="en-US" w:eastAsia="zh-CN"/>
              </w:rPr>
            </w:pPr>
            <w:r>
              <w:rPr>
                <w:rFonts w:hint="eastAsia" w:ascii="Times New Roman"/>
                <w:color w:val="auto"/>
                <w:sz w:val="24"/>
                <w:szCs w:val="24"/>
                <w:highlight w:val="none"/>
                <w:lang w:val="en-US" w:eastAsia="zh-CN"/>
              </w:rPr>
              <w:t>棉被、帐篷（含睡袋）、棉衣、雨衣、雨鞋、塑料袋、防护手套、手电、高低床、蜡烛、打火机、烧水器、编织袋、床单、枕套、枕巾等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0" w:hRule="atLeast"/>
          <w:jc w:val="center"/>
        </w:trPr>
        <w:tc>
          <w:tcPr>
            <w:tcW w:w="1850" w:type="dxa"/>
            <w:noWrap w:val="0"/>
            <w:vAlign w:val="center"/>
          </w:tcPr>
          <w:p>
            <w:pPr>
              <w:pStyle w:val="12"/>
              <w:jc w:val="center"/>
              <w:rPr>
                <w:rFonts w:hint="default" w:ascii="Times New Roman" w:eastAsia="宋体"/>
                <w:color w:val="auto"/>
                <w:sz w:val="24"/>
                <w:szCs w:val="24"/>
                <w:highlight w:val="none"/>
                <w:lang w:val="en-US" w:eastAsia="zh-CN"/>
              </w:rPr>
            </w:pPr>
            <w:r>
              <w:rPr>
                <w:rFonts w:hint="eastAsia" w:ascii="Times New Roman"/>
                <w:color w:val="auto"/>
                <w:sz w:val="24"/>
                <w:szCs w:val="24"/>
                <w:highlight w:val="none"/>
                <w:lang w:val="en-US" w:eastAsia="zh-CN"/>
              </w:rPr>
              <w:t>食品药品类</w:t>
            </w:r>
          </w:p>
        </w:tc>
        <w:tc>
          <w:tcPr>
            <w:tcW w:w="6869" w:type="dxa"/>
            <w:noWrap w:val="0"/>
            <w:vAlign w:val="center"/>
          </w:tcPr>
          <w:p>
            <w:pPr>
              <w:pStyle w:val="12"/>
              <w:jc w:val="left"/>
              <w:rPr>
                <w:rFonts w:hint="default" w:ascii="Times New Roman"/>
                <w:color w:val="auto"/>
                <w:sz w:val="24"/>
                <w:szCs w:val="24"/>
                <w:highlight w:val="none"/>
                <w:lang w:val="en-US"/>
              </w:rPr>
            </w:pPr>
            <w:r>
              <w:rPr>
                <w:rFonts w:hint="eastAsia" w:ascii="Times New Roman"/>
                <w:color w:val="auto"/>
                <w:sz w:val="24"/>
                <w:szCs w:val="24"/>
                <w:highlight w:val="none"/>
                <w:lang w:val="en-US" w:eastAsia="zh-CN"/>
              </w:rPr>
              <w:t>方便面、饼干、感冒药、矿泉水、大米、食用油、消炎药、药棉、绷带、担架、生姜、红糖等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8" w:hRule="atLeast"/>
          <w:jc w:val="center"/>
        </w:trPr>
        <w:tc>
          <w:tcPr>
            <w:tcW w:w="1850" w:type="dxa"/>
            <w:noWrap w:val="0"/>
            <w:vAlign w:val="center"/>
          </w:tcPr>
          <w:p>
            <w:pPr>
              <w:pStyle w:val="12"/>
              <w:jc w:val="center"/>
              <w:rPr>
                <w:rFonts w:hint="default" w:ascii="Times New Roman" w:eastAsia="宋体"/>
                <w:color w:val="auto"/>
                <w:sz w:val="24"/>
                <w:szCs w:val="24"/>
                <w:highlight w:val="none"/>
                <w:lang w:val="en-US" w:eastAsia="zh-CN"/>
              </w:rPr>
            </w:pPr>
            <w:r>
              <w:rPr>
                <w:rFonts w:hint="eastAsia" w:ascii="Times New Roman"/>
                <w:color w:val="auto"/>
                <w:sz w:val="24"/>
                <w:szCs w:val="24"/>
                <w:highlight w:val="none"/>
                <w:lang w:val="en-US" w:eastAsia="zh-CN"/>
              </w:rPr>
              <w:t>工程机械类</w:t>
            </w:r>
          </w:p>
        </w:tc>
        <w:tc>
          <w:tcPr>
            <w:tcW w:w="6869" w:type="dxa"/>
            <w:noWrap w:val="0"/>
            <w:vAlign w:val="center"/>
          </w:tcPr>
          <w:p>
            <w:pPr>
              <w:pStyle w:val="12"/>
              <w:jc w:val="left"/>
              <w:rPr>
                <w:rFonts w:hint="default" w:ascii="Times New Roman" w:eastAsia="宋体"/>
                <w:color w:val="auto"/>
                <w:sz w:val="24"/>
                <w:szCs w:val="24"/>
                <w:highlight w:val="none"/>
                <w:lang w:val="en-US" w:eastAsia="zh-CN"/>
              </w:rPr>
            </w:pPr>
            <w:r>
              <w:rPr>
                <w:rFonts w:hint="eastAsia" w:ascii="Times New Roman"/>
                <w:color w:val="auto"/>
                <w:sz w:val="24"/>
                <w:szCs w:val="24"/>
                <w:highlight w:val="none"/>
                <w:lang w:val="en-US" w:eastAsia="zh-CN"/>
              </w:rPr>
              <w:t>挖掘机、铲雪车、装载机、平地机、发电机、切割机、千斤顶、起重机、推土机、护栏抢修车、沥青路面修补车、多功能养护车等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5" w:hRule="atLeast"/>
          <w:jc w:val="center"/>
        </w:trPr>
        <w:tc>
          <w:tcPr>
            <w:tcW w:w="1850" w:type="dxa"/>
            <w:noWrap w:val="0"/>
            <w:vAlign w:val="center"/>
          </w:tcPr>
          <w:p>
            <w:pPr>
              <w:pStyle w:val="12"/>
              <w:jc w:val="center"/>
              <w:rPr>
                <w:rFonts w:hint="default" w:ascii="Times New Roman" w:eastAsia="宋体"/>
                <w:color w:val="auto"/>
                <w:sz w:val="24"/>
                <w:szCs w:val="24"/>
                <w:highlight w:val="none"/>
                <w:lang w:val="en-US" w:eastAsia="zh-CN"/>
              </w:rPr>
            </w:pPr>
            <w:r>
              <w:rPr>
                <w:rFonts w:hint="eastAsia" w:ascii="Times New Roman"/>
                <w:color w:val="auto"/>
                <w:sz w:val="24"/>
                <w:szCs w:val="24"/>
                <w:highlight w:val="none"/>
                <w:lang w:val="en-US" w:eastAsia="zh-CN"/>
              </w:rPr>
              <w:t>交通运输类</w:t>
            </w:r>
          </w:p>
        </w:tc>
        <w:tc>
          <w:tcPr>
            <w:tcW w:w="6869" w:type="dxa"/>
            <w:noWrap w:val="0"/>
            <w:vAlign w:val="center"/>
          </w:tcPr>
          <w:p>
            <w:pPr>
              <w:pStyle w:val="12"/>
              <w:jc w:val="left"/>
              <w:rPr>
                <w:rFonts w:ascii="Times New Roman"/>
                <w:color w:val="auto"/>
                <w:sz w:val="24"/>
                <w:szCs w:val="24"/>
                <w:highlight w:val="none"/>
              </w:rPr>
            </w:pPr>
            <w:r>
              <w:rPr>
                <w:rFonts w:hint="eastAsia" w:ascii="Times New Roman"/>
                <w:color w:val="auto"/>
                <w:sz w:val="24"/>
                <w:szCs w:val="24"/>
                <w:highlight w:val="none"/>
                <w:lang w:val="en-US" w:eastAsia="zh-CN"/>
              </w:rPr>
              <w:t>自卸车辆、平板拖车、客车等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2" w:hRule="atLeast"/>
          <w:jc w:val="center"/>
        </w:trPr>
        <w:tc>
          <w:tcPr>
            <w:tcW w:w="1850" w:type="dxa"/>
            <w:noWrap w:val="0"/>
            <w:vAlign w:val="center"/>
          </w:tcPr>
          <w:p>
            <w:pPr>
              <w:pStyle w:val="12"/>
              <w:jc w:val="center"/>
              <w:rPr>
                <w:rFonts w:hint="default" w:ascii="Times New Roman"/>
                <w:color w:val="auto"/>
                <w:sz w:val="24"/>
                <w:szCs w:val="24"/>
                <w:highlight w:val="none"/>
                <w:lang w:val="en-US" w:eastAsia="zh-CN"/>
              </w:rPr>
            </w:pPr>
            <w:r>
              <w:rPr>
                <w:rFonts w:hint="eastAsia" w:ascii="Times New Roman"/>
                <w:color w:val="auto"/>
                <w:sz w:val="24"/>
                <w:szCs w:val="24"/>
                <w:highlight w:val="none"/>
                <w:lang w:val="en-US" w:eastAsia="zh-CN"/>
              </w:rPr>
              <w:t>防止水域污染类</w:t>
            </w:r>
          </w:p>
        </w:tc>
        <w:tc>
          <w:tcPr>
            <w:tcW w:w="6869" w:type="dxa"/>
            <w:noWrap w:val="0"/>
            <w:vAlign w:val="center"/>
          </w:tcPr>
          <w:p>
            <w:pPr>
              <w:pStyle w:val="12"/>
              <w:jc w:val="left"/>
              <w:rPr>
                <w:rFonts w:hint="default" w:ascii="Times New Roman"/>
                <w:color w:val="auto"/>
                <w:sz w:val="24"/>
                <w:szCs w:val="24"/>
                <w:highlight w:val="none"/>
                <w:lang w:val="en-US" w:eastAsia="zh-CN"/>
              </w:rPr>
            </w:pPr>
            <w:r>
              <w:rPr>
                <w:rFonts w:hint="eastAsia" w:ascii="Times New Roman"/>
                <w:color w:val="auto"/>
                <w:sz w:val="24"/>
                <w:szCs w:val="24"/>
                <w:highlight w:val="none"/>
                <w:lang w:val="en-US" w:eastAsia="zh-CN"/>
              </w:rPr>
              <w:t>围油栏、吸油毡、消油剂、便携式油份检测设备等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9" w:hRule="atLeast"/>
          <w:jc w:val="center"/>
        </w:trPr>
        <w:tc>
          <w:tcPr>
            <w:tcW w:w="1850" w:type="dxa"/>
            <w:noWrap w:val="0"/>
            <w:vAlign w:val="center"/>
          </w:tcPr>
          <w:p>
            <w:pPr>
              <w:pStyle w:val="12"/>
              <w:jc w:val="center"/>
              <w:rPr>
                <w:rFonts w:hint="default" w:ascii="Times New Roman"/>
                <w:color w:val="auto"/>
                <w:sz w:val="24"/>
                <w:szCs w:val="24"/>
                <w:highlight w:val="none"/>
                <w:lang w:val="en-US" w:eastAsia="zh-CN"/>
              </w:rPr>
            </w:pPr>
            <w:r>
              <w:rPr>
                <w:rFonts w:hint="eastAsia" w:ascii="Times New Roman"/>
                <w:color w:val="auto"/>
                <w:sz w:val="24"/>
                <w:szCs w:val="24"/>
                <w:highlight w:val="none"/>
                <w:lang w:val="en-US" w:eastAsia="zh-CN"/>
              </w:rPr>
              <w:t>工程抢险类</w:t>
            </w:r>
          </w:p>
        </w:tc>
        <w:tc>
          <w:tcPr>
            <w:tcW w:w="6869" w:type="dxa"/>
            <w:noWrap w:val="0"/>
            <w:vAlign w:val="center"/>
          </w:tcPr>
          <w:p>
            <w:pPr>
              <w:pStyle w:val="12"/>
              <w:jc w:val="left"/>
              <w:rPr>
                <w:rFonts w:hint="default" w:ascii="Times New Roman"/>
                <w:color w:val="auto"/>
                <w:sz w:val="24"/>
                <w:szCs w:val="24"/>
                <w:highlight w:val="none"/>
                <w:lang w:val="en-US" w:eastAsia="zh-CN"/>
              </w:rPr>
            </w:pPr>
            <w:r>
              <w:rPr>
                <w:rFonts w:hint="eastAsia" w:ascii="Times New Roman"/>
                <w:color w:val="auto"/>
                <w:sz w:val="24"/>
                <w:szCs w:val="24"/>
                <w:highlight w:val="none"/>
                <w:lang w:val="en-US" w:eastAsia="zh-CN"/>
              </w:rPr>
              <w:t>工业盐、沥青、铁铲、钢材、铲雪板、扫把、反光服、水泥、安全帽、松木桩、防滑链、沙石、麻袋、反光锥、救生衣、标志牌、手推车、灭火器、铁丝、绳索等</w:t>
            </w:r>
          </w:p>
        </w:tc>
      </w:tr>
    </w:tbl>
    <w:p>
      <w:pPr>
        <w:pStyle w:val="3"/>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宋体"/>
          <w:b w:val="0"/>
          <w:bCs w:val="0"/>
          <w:color w:val="auto"/>
          <w:kern w:val="0"/>
          <w:sz w:val="32"/>
          <w:szCs w:val="32"/>
          <w:highlight w:val="none"/>
          <w:lang w:val="en-US" w:eastAsia="zh-CN" w:bidi="ar-SA"/>
        </w:rPr>
      </w:pPr>
      <w:bookmarkStart w:id="742" w:name="_Toc6492"/>
      <w:bookmarkStart w:id="743" w:name="_Toc28966"/>
      <w:r>
        <w:rPr>
          <w:rFonts w:hint="eastAsia" w:ascii="黑体" w:hAnsi="黑体" w:cs="宋体"/>
          <w:b w:val="0"/>
          <w:bCs w:val="0"/>
          <w:color w:val="auto"/>
          <w:kern w:val="0"/>
          <w:sz w:val="32"/>
          <w:szCs w:val="32"/>
          <w:highlight w:val="none"/>
          <w:lang w:val="en-US" w:eastAsia="zh-CN" w:bidi="ar-SA"/>
        </w:rPr>
        <w:t>9</w:t>
      </w:r>
      <w:r>
        <w:rPr>
          <w:rFonts w:hint="eastAsia" w:ascii="黑体" w:hAnsi="黑体" w:eastAsia="黑体" w:cs="宋体"/>
          <w:b w:val="0"/>
          <w:bCs w:val="0"/>
          <w:color w:val="auto"/>
          <w:kern w:val="0"/>
          <w:sz w:val="32"/>
          <w:szCs w:val="32"/>
          <w:highlight w:val="none"/>
          <w:lang w:val="en-US" w:eastAsia="zh-CN" w:bidi="ar-SA"/>
        </w:rPr>
        <w:t>.</w:t>
      </w:r>
      <w:r>
        <w:rPr>
          <w:rFonts w:hint="eastAsia" w:ascii="黑体" w:hAnsi="黑体" w:cs="宋体"/>
          <w:b w:val="0"/>
          <w:bCs w:val="0"/>
          <w:color w:val="auto"/>
          <w:kern w:val="0"/>
          <w:sz w:val="32"/>
          <w:szCs w:val="32"/>
          <w:highlight w:val="none"/>
          <w:lang w:val="en-US" w:eastAsia="zh-CN" w:bidi="ar-SA"/>
        </w:rPr>
        <w:t>9</w:t>
      </w:r>
      <w:r>
        <w:rPr>
          <w:rFonts w:hint="eastAsia" w:ascii="黑体" w:hAnsi="黑体" w:eastAsia="黑体" w:cs="宋体"/>
          <w:b w:val="0"/>
          <w:bCs w:val="0"/>
          <w:color w:val="auto"/>
          <w:kern w:val="0"/>
          <w:sz w:val="32"/>
          <w:szCs w:val="32"/>
          <w:highlight w:val="none"/>
          <w:lang w:val="en-US" w:eastAsia="zh-CN" w:bidi="ar-SA"/>
        </w:rPr>
        <w:t>防御响应启动条件</w:t>
      </w:r>
      <w:bookmarkEnd w:id="742"/>
      <w:bookmarkEnd w:id="743"/>
    </w:p>
    <w:p>
      <w:pPr>
        <w:pStyle w:val="3"/>
        <w:spacing w:line="360" w:lineRule="auto"/>
        <w:jc w:val="center"/>
        <w:rPr>
          <w:rFonts w:hint="eastAsia"/>
          <w:highlight w:val="none"/>
          <w:lang w:val="en-US" w:eastAsia="zh-CN"/>
        </w:rPr>
      </w:pPr>
      <w:bookmarkStart w:id="744" w:name="_Toc22198"/>
      <w:bookmarkStart w:id="745" w:name="_Toc26716"/>
      <w:bookmarkStart w:id="746" w:name="_Toc32767"/>
      <w:bookmarkStart w:id="747" w:name="_Toc15348"/>
      <w:bookmarkStart w:id="748" w:name="_Toc17715"/>
      <w:bookmarkStart w:id="749" w:name="_Toc29973"/>
      <w:bookmarkStart w:id="750" w:name="_Toc9560"/>
      <w:bookmarkStart w:id="751" w:name="_Toc11982"/>
      <w:bookmarkStart w:id="752" w:name="_Toc31137"/>
      <w:r>
        <w:rPr>
          <w:rFonts w:hint="eastAsia" w:ascii="黑体" w:hAnsi="黑体" w:eastAsia="黑体" w:cs="黑体"/>
          <w:b w:val="0"/>
          <w:bCs w:val="0"/>
          <w:color w:val="auto"/>
          <w:kern w:val="0"/>
          <w:sz w:val="44"/>
          <w:szCs w:val="44"/>
          <w:highlight w:val="none"/>
          <w:lang w:val="en-US" w:eastAsia="zh-CN" w:bidi="ar-SA"/>
        </w:rPr>
        <w:t>防御响应启动条件</w:t>
      </w:r>
      <w:bookmarkEnd w:id="744"/>
      <w:bookmarkEnd w:id="745"/>
      <w:bookmarkEnd w:id="746"/>
      <w:bookmarkEnd w:id="747"/>
      <w:bookmarkEnd w:id="748"/>
      <w:bookmarkEnd w:id="749"/>
      <w:bookmarkEnd w:id="750"/>
      <w:bookmarkEnd w:id="751"/>
      <w:bookmarkEnd w:id="752"/>
      <w:bookmarkStart w:id="753" w:name="_Toc24991"/>
      <w:bookmarkStart w:id="754" w:name="_Toc9138"/>
      <w:bookmarkStart w:id="755" w:name="_Toc19554"/>
      <w:bookmarkStart w:id="756" w:name="_Toc24676"/>
      <w:bookmarkStart w:id="757" w:name="_Toc18416"/>
      <w:bookmarkStart w:id="758" w:name="_Toc27684"/>
      <w:bookmarkStart w:id="759" w:name="_Toc16962"/>
      <w:bookmarkStart w:id="760" w:name="_Toc3422"/>
      <w:bookmarkStart w:id="761" w:name="_Toc23150"/>
    </w:p>
    <w:p>
      <w:pPr>
        <w:bidi w:val="0"/>
        <w:spacing w:line="560" w:lineRule="exact"/>
        <w:ind w:firstLine="640" w:firstLineChars="200"/>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1.台风防御响应启动条件</w:t>
      </w:r>
      <w:bookmarkEnd w:id="753"/>
      <w:bookmarkEnd w:id="754"/>
      <w:bookmarkEnd w:id="755"/>
      <w:bookmarkEnd w:id="756"/>
      <w:bookmarkEnd w:id="757"/>
      <w:bookmarkEnd w:id="758"/>
      <w:bookmarkEnd w:id="759"/>
      <w:bookmarkEnd w:id="760"/>
      <w:bookmarkEnd w:id="761"/>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762" w:name="_Toc6742"/>
      <w:bookmarkStart w:id="763" w:name="_Toc15552"/>
      <w:bookmarkStart w:id="764" w:name="_Toc3314"/>
      <w:bookmarkStart w:id="765" w:name="_Toc17244"/>
      <w:bookmarkStart w:id="766" w:name="_Toc31082"/>
      <w:bookmarkStart w:id="767" w:name="_Toc12948"/>
      <w:bookmarkStart w:id="768" w:name="_Toc30409"/>
      <w:bookmarkStart w:id="769" w:name="_Toc3752"/>
      <w:bookmarkStart w:id="770" w:name="_Toc10388"/>
      <w:r>
        <w:rPr>
          <w:rFonts w:hint="eastAsia" w:ascii="仿宋_GB2312" w:hAnsi="仿宋_GB2312" w:eastAsia="仿宋_GB2312" w:cs="仿宋_GB2312"/>
          <w:sz w:val="32"/>
          <w:szCs w:val="32"/>
          <w:highlight w:val="none"/>
          <w:lang w:val="en-US" w:eastAsia="zh-CN"/>
        </w:rPr>
        <w:t>1.1Ⅰ级防御响应启动条件</w:t>
      </w:r>
      <w:bookmarkEnd w:id="762"/>
      <w:bookmarkEnd w:id="763"/>
      <w:bookmarkEnd w:id="764"/>
      <w:bookmarkEnd w:id="765"/>
      <w:bookmarkEnd w:id="766"/>
      <w:bookmarkEnd w:id="767"/>
      <w:bookmarkEnd w:id="768"/>
      <w:bookmarkEnd w:id="769"/>
      <w:bookmarkEnd w:id="770"/>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771" w:name="_Toc2767"/>
      <w:bookmarkStart w:id="772" w:name="_Toc486"/>
      <w:bookmarkStart w:id="773" w:name="_Toc20376"/>
      <w:bookmarkStart w:id="774" w:name="_Toc32723"/>
      <w:bookmarkStart w:id="775" w:name="_Toc32706"/>
      <w:bookmarkStart w:id="776" w:name="_Toc10685"/>
      <w:bookmarkStart w:id="777" w:name="_Toc8499"/>
      <w:bookmarkStart w:id="778" w:name="_Toc26907"/>
      <w:bookmarkStart w:id="779" w:name="_Toc29401"/>
      <w:r>
        <w:rPr>
          <w:rFonts w:hint="eastAsia" w:ascii="仿宋_GB2312" w:hAnsi="仿宋_GB2312" w:eastAsia="仿宋_GB2312" w:cs="仿宋_GB2312"/>
          <w:sz w:val="32"/>
          <w:szCs w:val="32"/>
          <w:highlight w:val="none"/>
          <w:lang w:val="en-US" w:eastAsia="zh-CN"/>
        </w:rPr>
        <w:t>当发生下列情况之一的，启动Ⅰ级防御响应：</w:t>
      </w:r>
      <w:bookmarkEnd w:id="771"/>
      <w:bookmarkEnd w:id="772"/>
      <w:bookmarkEnd w:id="773"/>
      <w:bookmarkEnd w:id="774"/>
      <w:bookmarkEnd w:id="775"/>
      <w:bookmarkEnd w:id="776"/>
      <w:bookmarkEnd w:id="777"/>
      <w:bookmarkEnd w:id="778"/>
      <w:bookmarkEnd w:id="779"/>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780" w:name="_Toc32720"/>
      <w:bookmarkStart w:id="781" w:name="_Toc31402"/>
      <w:bookmarkStart w:id="782" w:name="_Toc12307"/>
      <w:bookmarkStart w:id="783" w:name="_Toc31705"/>
      <w:bookmarkStart w:id="784" w:name="_Toc22346"/>
      <w:bookmarkStart w:id="785" w:name="_Toc32625"/>
      <w:bookmarkStart w:id="786" w:name="_Toc19636"/>
      <w:bookmarkStart w:id="787" w:name="_Toc7873"/>
      <w:bookmarkStart w:id="788" w:name="_Toc31560"/>
      <w:r>
        <w:rPr>
          <w:rFonts w:hint="eastAsia" w:ascii="仿宋_GB2312" w:hAnsi="仿宋_GB2312" w:eastAsia="仿宋_GB2312" w:cs="仿宋_GB2312"/>
          <w:sz w:val="32"/>
          <w:szCs w:val="32"/>
          <w:highlight w:val="none"/>
          <w:lang w:val="en-US" w:eastAsia="zh-CN"/>
        </w:rPr>
        <w:t>（1）热带气旋预计在未来48小时登陆（登陆时中心风力达到16级以上）；</w:t>
      </w:r>
      <w:bookmarkEnd w:id="780"/>
      <w:bookmarkEnd w:id="781"/>
      <w:bookmarkEnd w:id="782"/>
      <w:bookmarkEnd w:id="783"/>
      <w:bookmarkEnd w:id="784"/>
      <w:bookmarkEnd w:id="785"/>
      <w:bookmarkEnd w:id="786"/>
      <w:bookmarkEnd w:id="787"/>
      <w:bookmarkEnd w:id="788"/>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789" w:name="_Toc5039"/>
      <w:bookmarkStart w:id="790" w:name="_Toc27799"/>
      <w:bookmarkStart w:id="791" w:name="_Toc10605"/>
      <w:bookmarkStart w:id="792" w:name="_Toc14607"/>
      <w:bookmarkStart w:id="793" w:name="_Toc10425"/>
      <w:bookmarkStart w:id="794" w:name="_Toc3918"/>
      <w:bookmarkStart w:id="795" w:name="_Toc29804"/>
      <w:bookmarkStart w:id="796" w:name="_Toc28084"/>
      <w:bookmarkStart w:id="797" w:name="_Toc10300"/>
      <w:r>
        <w:rPr>
          <w:rFonts w:hint="eastAsia" w:ascii="仿宋_GB2312" w:hAnsi="仿宋_GB2312" w:eastAsia="仿宋_GB2312" w:cs="仿宋_GB2312"/>
          <w:sz w:val="32"/>
          <w:szCs w:val="32"/>
          <w:highlight w:val="none"/>
          <w:lang w:val="en-US" w:eastAsia="zh-CN"/>
        </w:rPr>
        <w:t>（2）热带气旋对交通造成特别重大损失和影响，已经达到Ⅱ级预警标准但仍可能持续发展或影响其他地区的。</w:t>
      </w:r>
      <w:bookmarkEnd w:id="789"/>
      <w:bookmarkEnd w:id="790"/>
      <w:bookmarkEnd w:id="791"/>
      <w:bookmarkEnd w:id="792"/>
      <w:bookmarkEnd w:id="793"/>
      <w:bookmarkEnd w:id="794"/>
      <w:bookmarkEnd w:id="795"/>
      <w:bookmarkEnd w:id="796"/>
      <w:bookmarkEnd w:id="797"/>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798" w:name="_Toc4777"/>
      <w:bookmarkStart w:id="799" w:name="_Toc15788"/>
      <w:bookmarkStart w:id="800" w:name="_Toc27605"/>
      <w:bookmarkStart w:id="801" w:name="_Toc26790"/>
      <w:bookmarkStart w:id="802" w:name="_Toc25054"/>
      <w:bookmarkStart w:id="803" w:name="_Toc31305"/>
      <w:bookmarkStart w:id="804" w:name="_Toc15886"/>
      <w:bookmarkStart w:id="805" w:name="_Toc12579"/>
      <w:bookmarkStart w:id="806" w:name="_Toc18166"/>
      <w:r>
        <w:rPr>
          <w:rFonts w:hint="eastAsia" w:ascii="仿宋_GB2312" w:hAnsi="仿宋_GB2312" w:eastAsia="仿宋_GB2312" w:cs="仿宋_GB2312"/>
          <w:sz w:val="32"/>
          <w:szCs w:val="32"/>
          <w:highlight w:val="none"/>
          <w:lang w:val="en-US" w:eastAsia="zh-CN"/>
        </w:rPr>
        <w:t>1.2II级防御响应启动条件</w:t>
      </w:r>
      <w:bookmarkEnd w:id="798"/>
      <w:bookmarkEnd w:id="799"/>
      <w:bookmarkEnd w:id="800"/>
      <w:bookmarkEnd w:id="801"/>
      <w:bookmarkEnd w:id="802"/>
      <w:bookmarkEnd w:id="803"/>
      <w:bookmarkEnd w:id="804"/>
      <w:bookmarkEnd w:id="805"/>
      <w:bookmarkEnd w:id="806"/>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07" w:name="_Toc25839"/>
      <w:bookmarkStart w:id="808" w:name="_Toc6800"/>
      <w:bookmarkStart w:id="809" w:name="_Toc21508"/>
      <w:bookmarkStart w:id="810" w:name="_Toc8044"/>
      <w:bookmarkStart w:id="811" w:name="_Toc13771"/>
      <w:bookmarkStart w:id="812" w:name="_Toc24043"/>
      <w:bookmarkStart w:id="813" w:name="_Toc17732"/>
      <w:bookmarkStart w:id="814" w:name="_Toc14632"/>
      <w:bookmarkStart w:id="815" w:name="_Toc12380"/>
      <w:r>
        <w:rPr>
          <w:rFonts w:hint="eastAsia" w:ascii="仿宋_GB2312" w:hAnsi="仿宋_GB2312" w:eastAsia="仿宋_GB2312" w:cs="仿宋_GB2312"/>
          <w:sz w:val="32"/>
          <w:szCs w:val="32"/>
          <w:highlight w:val="none"/>
          <w:lang w:val="en-US" w:eastAsia="zh-CN"/>
        </w:rPr>
        <w:t>当发生下列情况之一的，启动II级防御响应：</w:t>
      </w:r>
      <w:bookmarkEnd w:id="807"/>
      <w:bookmarkEnd w:id="808"/>
      <w:bookmarkEnd w:id="809"/>
      <w:bookmarkEnd w:id="810"/>
      <w:bookmarkEnd w:id="811"/>
      <w:bookmarkEnd w:id="812"/>
      <w:bookmarkEnd w:id="813"/>
      <w:bookmarkEnd w:id="814"/>
      <w:bookmarkEnd w:id="815"/>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16" w:name="_Toc31770"/>
      <w:bookmarkStart w:id="817" w:name="_Toc1546"/>
      <w:bookmarkStart w:id="818" w:name="_Toc4203"/>
      <w:bookmarkStart w:id="819" w:name="_Toc32239"/>
      <w:bookmarkStart w:id="820" w:name="_Toc9384"/>
      <w:bookmarkStart w:id="821" w:name="_Toc27658"/>
      <w:bookmarkStart w:id="822" w:name="_Toc17312"/>
      <w:bookmarkStart w:id="823" w:name="_Toc4834"/>
      <w:bookmarkStart w:id="824" w:name="_Toc17677"/>
      <w:r>
        <w:rPr>
          <w:rFonts w:hint="eastAsia" w:ascii="仿宋_GB2312" w:hAnsi="仿宋_GB2312" w:eastAsia="仿宋_GB2312" w:cs="仿宋_GB2312"/>
          <w:sz w:val="32"/>
          <w:szCs w:val="32"/>
          <w:highlight w:val="none"/>
          <w:lang w:val="en-US" w:eastAsia="zh-CN"/>
        </w:rPr>
        <w:t>（1）热带气旋预计在未来48小时内登陆（登陆时中心风力达到14级以上）；</w:t>
      </w:r>
      <w:bookmarkEnd w:id="816"/>
      <w:bookmarkEnd w:id="817"/>
      <w:bookmarkEnd w:id="818"/>
      <w:bookmarkEnd w:id="819"/>
      <w:bookmarkEnd w:id="820"/>
      <w:bookmarkEnd w:id="821"/>
      <w:bookmarkEnd w:id="822"/>
      <w:bookmarkEnd w:id="823"/>
      <w:bookmarkEnd w:id="824"/>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25" w:name="_Toc20152"/>
      <w:bookmarkStart w:id="826" w:name="_Toc25732"/>
      <w:bookmarkStart w:id="827" w:name="_Toc22095"/>
      <w:bookmarkStart w:id="828" w:name="_Toc30390"/>
      <w:bookmarkStart w:id="829" w:name="_Toc24062"/>
      <w:bookmarkStart w:id="830" w:name="_Toc15631"/>
      <w:bookmarkStart w:id="831" w:name="_Toc31682"/>
      <w:bookmarkStart w:id="832" w:name="_Toc891"/>
      <w:bookmarkStart w:id="833" w:name="_Toc26798"/>
      <w:r>
        <w:rPr>
          <w:rFonts w:hint="eastAsia" w:ascii="仿宋_GB2312" w:hAnsi="仿宋_GB2312" w:eastAsia="仿宋_GB2312" w:cs="仿宋_GB2312"/>
          <w:sz w:val="32"/>
          <w:szCs w:val="32"/>
          <w:highlight w:val="none"/>
          <w:lang w:val="en-US" w:eastAsia="zh-CN"/>
        </w:rPr>
        <w:t>（2）热带气旋对交通造成重大损失和影响，已经达到Ⅲ级预警标准但仍可能持续发展或者影响其他地区的。</w:t>
      </w:r>
      <w:bookmarkEnd w:id="825"/>
      <w:bookmarkEnd w:id="826"/>
      <w:bookmarkEnd w:id="827"/>
      <w:bookmarkEnd w:id="828"/>
      <w:bookmarkEnd w:id="829"/>
      <w:bookmarkEnd w:id="830"/>
      <w:bookmarkEnd w:id="831"/>
      <w:bookmarkEnd w:id="832"/>
      <w:bookmarkEnd w:id="833"/>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34" w:name="_Toc5405"/>
      <w:bookmarkStart w:id="835" w:name="_Toc30315"/>
      <w:bookmarkStart w:id="836" w:name="_Toc21967"/>
      <w:bookmarkStart w:id="837" w:name="_Toc14895"/>
      <w:bookmarkStart w:id="838" w:name="_Toc4998"/>
      <w:bookmarkStart w:id="839" w:name="_Toc6563"/>
      <w:bookmarkStart w:id="840" w:name="_Toc12560"/>
      <w:bookmarkStart w:id="841" w:name="_Toc29490"/>
      <w:bookmarkStart w:id="842" w:name="_Toc17398"/>
      <w:r>
        <w:rPr>
          <w:rFonts w:hint="eastAsia" w:ascii="仿宋_GB2312" w:hAnsi="仿宋_GB2312" w:eastAsia="仿宋_GB2312" w:cs="仿宋_GB2312"/>
          <w:sz w:val="32"/>
          <w:szCs w:val="32"/>
          <w:highlight w:val="none"/>
          <w:lang w:val="en-US" w:eastAsia="zh-CN"/>
        </w:rPr>
        <w:t>1.3Ⅲ级防御响应启动条件</w:t>
      </w:r>
      <w:bookmarkEnd w:id="834"/>
      <w:bookmarkEnd w:id="835"/>
      <w:bookmarkEnd w:id="836"/>
      <w:bookmarkEnd w:id="837"/>
      <w:bookmarkEnd w:id="838"/>
      <w:bookmarkEnd w:id="839"/>
      <w:bookmarkEnd w:id="840"/>
      <w:bookmarkEnd w:id="841"/>
      <w:bookmarkEnd w:id="842"/>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43" w:name="_Toc6835"/>
      <w:bookmarkStart w:id="844" w:name="_Toc6064"/>
      <w:bookmarkStart w:id="845" w:name="_Toc30777"/>
      <w:bookmarkStart w:id="846" w:name="_Toc16118"/>
      <w:bookmarkStart w:id="847" w:name="_Toc14814"/>
      <w:bookmarkStart w:id="848" w:name="_Toc2699"/>
      <w:bookmarkStart w:id="849" w:name="_Toc124"/>
      <w:bookmarkStart w:id="850" w:name="_Toc22192"/>
      <w:bookmarkStart w:id="851" w:name="_Toc7201"/>
      <w:r>
        <w:rPr>
          <w:rFonts w:hint="eastAsia" w:ascii="仿宋_GB2312" w:hAnsi="仿宋_GB2312" w:eastAsia="仿宋_GB2312" w:cs="仿宋_GB2312"/>
          <w:sz w:val="32"/>
          <w:szCs w:val="32"/>
          <w:highlight w:val="none"/>
          <w:lang w:val="en-US" w:eastAsia="zh-CN"/>
        </w:rPr>
        <w:t>当发生下列情况之一的，启动Ⅲ级防御响应：</w:t>
      </w:r>
      <w:bookmarkEnd w:id="843"/>
      <w:bookmarkEnd w:id="844"/>
      <w:bookmarkEnd w:id="845"/>
      <w:bookmarkEnd w:id="846"/>
      <w:bookmarkEnd w:id="847"/>
      <w:bookmarkEnd w:id="848"/>
      <w:bookmarkEnd w:id="849"/>
      <w:bookmarkEnd w:id="850"/>
      <w:bookmarkEnd w:id="851"/>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52" w:name="_Toc18099"/>
      <w:bookmarkStart w:id="853" w:name="_Toc26746"/>
      <w:bookmarkStart w:id="854" w:name="_Toc27378"/>
      <w:bookmarkStart w:id="855" w:name="_Toc24674"/>
      <w:bookmarkStart w:id="856" w:name="_Toc25867"/>
      <w:bookmarkStart w:id="857" w:name="_Toc18293"/>
      <w:bookmarkStart w:id="858" w:name="_Toc32715"/>
      <w:bookmarkStart w:id="859" w:name="_Toc20550"/>
      <w:bookmarkStart w:id="860" w:name="_Toc14019"/>
      <w:r>
        <w:rPr>
          <w:rFonts w:hint="eastAsia" w:ascii="仿宋_GB2312" w:hAnsi="仿宋_GB2312" w:eastAsia="仿宋_GB2312" w:cs="仿宋_GB2312"/>
          <w:sz w:val="32"/>
          <w:szCs w:val="32"/>
          <w:highlight w:val="none"/>
          <w:lang w:val="en-US" w:eastAsia="zh-CN"/>
        </w:rPr>
        <w:t>（1）热带气旋预计在未来48小时内登陆（登陆时中心风力达到12级以上）；</w:t>
      </w:r>
      <w:bookmarkEnd w:id="852"/>
      <w:bookmarkEnd w:id="853"/>
      <w:bookmarkEnd w:id="854"/>
      <w:bookmarkEnd w:id="855"/>
      <w:bookmarkEnd w:id="856"/>
      <w:bookmarkEnd w:id="857"/>
      <w:bookmarkEnd w:id="858"/>
      <w:bookmarkEnd w:id="859"/>
      <w:bookmarkEnd w:id="860"/>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61" w:name="_Toc27153"/>
      <w:bookmarkStart w:id="862" w:name="_Toc7215"/>
      <w:bookmarkStart w:id="863" w:name="_Toc4994"/>
      <w:bookmarkStart w:id="864" w:name="_Toc250"/>
      <w:bookmarkStart w:id="865" w:name="_Toc29029"/>
      <w:bookmarkStart w:id="866" w:name="_Toc14081"/>
      <w:bookmarkStart w:id="867" w:name="_Toc11917"/>
      <w:bookmarkStart w:id="868" w:name="_Toc26852"/>
      <w:bookmarkStart w:id="869" w:name="_Toc30383"/>
      <w:r>
        <w:rPr>
          <w:rFonts w:hint="eastAsia" w:ascii="仿宋_GB2312" w:hAnsi="仿宋_GB2312" w:eastAsia="仿宋_GB2312" w:cs="仿宋_GB2312"/>
          <w:sz w:val="32"/>
          <w:szCs w:val="32"/>
          <w:highlight w:val="none"/>
          <w:lang w:val="en-US" w:eastAsia="zh-CN"/>
        </w:rPr>
        <w:t>（2）热带气旋对交通造成重大损失和影响，已经达到Ⅳ级预警标准但仍可能持续发展或者影响其他地区的。</w:t>
      </w:r>
      <w:bookmarkEnd w:id="861"/>
      <w:bookmarkEnd w:id="862"/>
      <w:bookmarkEnd w:id="863"/>
      <w:bookmarkEnd w:id="864"/>
      <w:bookmarkEnd w:id="865"/>
      <w:bookmarkEnd w:id="866"/>
      <w:bookmarkEnd w:id="867"/>
      <w:bookmarkEnd w:id="868"/>
      <w:bookmarkEnd w:id="869"/>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70" w:name="_Toc5921"/>
      <w:bookmarkStart w:id="871" w:name="_Toc12090"/>
      <w:bookmarkStart w:id="872" w:name="_Toc7796"/>
      <w:bookmarkStart w:id="873" w:name="_Toc11247"/>
      <w:bookmarkStart w:id="874" w:name="_Toc11332"/>
      <w:bookmarkStart w:id="875" w:name="_Toc13331"/>
      <w:bookmarkStart w:id="876" w:name="_Toc26156"/>
      <w:bookmarkStart w:id="877" w:name="_Toc13010"/>
      <w:bookmarkStart w:id="878" w:name="_Toc6935"/>
      <w:r>
        <w:rPr>
          <w:rFonts w:hint="eastAsia" w:ascii="仿宋_GB2312" w:hAnsi="仿宋_GB2312" w:eastAsia="仿宋_GB2312" w:cs="仿宋_GB2312"/>
          <w:sz w:val="32"/>
          <w:szCs w:val="32"/>
          <w:highlight w:val="none"/>
          <w:lang w:val="en-US" w:eastAsia="zh-CN"/>
        </w:rPr>
        <w:t>1.4Ⅳ级防御响应启动条件</w:t>
      </w:r>
      <w:bookmarkEnd w:id="870"/>
      <w:bookmarkEnd w:id="871"/>
      <w:bookmarkEnd w:id="872"/>
      <w:bookmarkEnd w:id="873"/>
      <w:bookmarkEnd w:id="874"/>
      <w:bookmarkEnd w:id="875"/>
      <w:bookmarkEnd w:id="876"/>
      <w:bookmarkEnd w:id="877"/>
      <w:bookmarkEnd w:id="878"/>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79" w:name="_Toc12258"/>
      <w:bookmarkStart w:id="880" w:name="_Toc23218"/>
      <w:bookmarkStart w:id="881" w:name="_Toc23064"/>
      <w:bookmarkStart w:id="882" w:name="_Toc11017"/>
      <w:bookmarkStart w:id="883" w:name="_Toc27512"/>
      <w:bookmarkStart w:id="884" w:name="_Toc13205"/>
      <w:bookmarkStart w:id="885" w:name="_Toc4666"/>
      <w:bookmarkStart w:id="886" w:name="_Toc724"/>
      <w:bookmarkStart w:id="887" w:name="_Toc7896"/>
      <w:r>
        <w:rPr>
          <w:rFonts w:hint="eastAsia" w:ascii="仿宋_GB2312" w:hAnsi="仿宋_GB2312" w:eastAsia="仿宋_GB2312" w:cs="仿宋_GB2312"/>
          <w:sz w:val="32"/>
          <w:szCs w:val="32"/>
          <w:highlight w:val="none"/>
          <w:lang w:val="en-US" w:eastAsia="zh-CN"/>
        </w:rPr>
        <w:t>当发生下列情况之一的，启动Ⅳ级防御响应：</w:t>
      </w:r>
      <w:bookmarkEnd w:id="879"/>
      <w:bookmarkEnd w:id="880"/>
      <w:bookmarkEnd w:id="881"/>
      <w:bookmarkEnd w:id="882"/>
      <w:bookmarkEnd w:id="883"/>
      <w:bookmarkEnd w:id="884"/>
      <w:bookmarkEnd w:id="885"/>
      <w:bookmarkEnd w:id="886"/>
      <w:bookmarkEnd w:id="887"/>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88" w:name="_Toc22353"/>
      <w:bookmarkStart w:id="889" w:name="_Toc5123"/>
      <w:bookmarkStart w:id="890" w:name="_Toc13867"/>
      <w:bookmarkStart w:id="891" w:name="_Toc28784"/>
      <w:bookmarkStart w:id="892" w:name="_Toc9627"/>
      <w:bookmarkStart w:id="893" w:name="_Toc418"/>
      <w:bookmarkStart w:id="894" w:name="_Toc32507"/>
      <w:bookmarkStart w:id="895" w:name="_Toc16901"/>
      <w:bookmarkStart w:id="896" w:name="_Toc26964"/>
      <w:r>
        <w:rPr>
          <w:rFonts w:hint="eastAsia" w:ascii="仿宋_GB2312" w:hAnsi="仿宋_GB2312" w:eastAsia="仿宋_GB2312" w:cs="仿宋_GB2312"/>
          <w:sz w:val="32"/>
          <w:szCs w:val="32"/>
          <w:highlight w:val="none"/>
          <w:lang w:val="en-US" w:eastAsia="zh-CN"/>
        </w:rPr>
        <w:t>（1）热带气旋预计在未来48小时内登陆（登陆时中心风力达到10级以上）；</w:t>
      </w:r>
      <w:bookmarkEnd w:id="888"/>
      <w:bookmarkEnd w:id="889"/>
      <w:bookmarkEnd w:id="890"/>
      <w:bookmarkEnd w:id="891"/>
      <w:bookmarkEnd w:id="892"/>
      <w:bookmarkEnd w:id="893"/>
      <w:bookmarkEnd w:id="894"/>
      <w:bookmarkEnd w:id="895"/>
      <w:bookmarkEnd w:id="896"/>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897" w:name="_Toc17285"/>
      <w:bookmarkStart w:id="898" w:name="_Toc4121"/>
      <w:bookmarkStart w:id="899" w:name="_Toc31325"/>
      <w:bookmarkStart w:id="900" w:name="_Toc29354"/>
      <w:bookmarkStart w:id="901" w:name="_Toc16676"/>
      <w:bookmarkStart w:id="902" w:name="_Toc10980"/>
      <w:bookmarkStart w:id="903" w:name="_Toc10422"/>
      <w:bookmarkStart w:id="904" w:name="_Toc9120"/>
      <w:bookmarkStart w:id="905" w:name="_Toc19758"/>
      <w:r>
        <w:rPr>
          <w:rFonts w:hint="eastAsia" w:ascii="仿宋_GB2312" w:hAnsi="仿宋_GB2312" w:eastAsia="仿宋_GB2312" w:cs="仿宋_GB2312"/>
          <w:sz w:val="32"/>
          <w:szCs w:val="32"/>
          <w:highlight w:val="none"/>
          <w:lang w:val="en-US" w:eastAsia="zh-CN"/>
        </w:rPr>
        <w:t>（2）热带气旋已经对交通运输安全及生产造成一定损失和影响。</w:t>
      </w:r>
      <w:bookmarkEnd w:id="897"/>
      <w:bookmarkEnd w:id="898"/>
      <w:bookmarkEnd w:id="899"/>
      <w:bookmarkEnd w:id="900"/>
      <w:bookmarkEnd w:id="901"/>
      <w:bookmarkEnd w:id="902"/>
      <w:bookmarkEnd w:id="903"/>
      <w:bookmarkEnd w:id="904"/>
      <w:bookmarkEnd w:id="905"/>
    </w:p>
    <w:p>
      <w:pPr>
        <w:bidi w:val="0"/>
        <w:spacing w:line="560" w:lineRule="exact"/>
        <w:ind w:firstLine="640" w:firstLineChars="200"/>
        <w:rPr>
          <w:rFonts w:hint="eastAsia" w:ascii="楷体_GB2312" w:hAnsi="楷体_GB2312" w:eastAsia="楷体_GB2312" w:cs="楷体_GB2312"/>
          <w:sz w:val="32"/>
          <w:szCs w:val="32"/>
          <w:highlight w:val="none"/>
          <w:lang w:val="en-US" w:eastAsia="zh-CN"/>
        </w:rPr>
      </w:pPr>
      <w:bookmarkStart w:id="906" w:name="_Toc14104"/>
      <w:bookmarkStart w:id="907" w:name="_Toc7971"/>
      <w:bookmarkStart w:id="908" w:name="_Toc458"/>
      <w:bookmarkStart w:id="909" w:name="_Toc16261"/>
      <w:bookmarkStart w:id="910" w:name="_Toc17946"/>
      <w:bookmarkStart w:id="911" w:name="_Toc8224"/>
      <w:bookmarkStart w:id="912" w:name="_Toc9996"/>
      <w:bookmarkStart w:id="913" w:name="_Toc7422"/>
      <w:bookmarkStart w:id="914" w:name="_Toc14616"/>
      <w:r>
        <w:rPr>
          <w:rFonts w:hint="eastAsia" w:ascii="楷体_GB2312" w:hAnsi="楷体_GB2312" w:eastAsia="楷体_GB2312" w:cs="楷体_GB2312"/>
          <w:sz w:val="32"/>
          <w:szCs w:val="32"/>
          <w:highlight w:val="none"/>
          <w:lang w:val="en-US" w:eastAsia="zh-CN"/>
        </w:rPr>
        <w:t>2.其他极端天气参照执行的防御响应启动条件</w:t>
      </w:r>
      <w:bookmarkEnd w:id="906"/>
      <w:bookmarkEnd w:id="907"/>
      <w:bookmarkEnd w:id="908"/>
      <w:bookmarkEnd w:id="909"/>
      <w:bookmarkEnd w:id="910"/>
      <w:bookmarkEnd w:id="911"/>
      <w:bookmarkEnd w:id="912"/>
      <w:bookmarkEnd w:id="913"/>
      <w:bookmarkEnd w:id="914"/>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15" w:name="_Toc22991"/>
      <w:bookmarkStart w:id="916" w:name="_Toc18393"/>
      <w:bookmarkStart w:id="917" w:name="_Toc28696"/>
      <w:bookmarkStart w:id="918" w:name="_Toc21880"/>
      <w:bookmarkStart w:id="919" w:name="_Toc17084"/>
      <w:bookmarkStart w:id="920" w:name="_Toc1738"/>
      <w:bookmarkStart w:id="921" w:name="_Toc17864"/>
      <w:bookmarkStart w:id="922" w:name="_Toc26622"/>
      <w:bookmarkStart w:id="923" w:name="_Toc670"/>
      <w:r>
        <w:rPr>
          <w:rFonts w:hint="eastAsia" w:ascii="仿宋_GB2312" w:hAnsi="仿宋_GB2312" w:eastAsia="仿宋_GB2312" w:cs="仿宋_GB2312"/>
          <w:sz w:val="32"/>
          <w:szCs w:val="32"/>
          <w:highlight w:val="none"/>
          <w:lang w:val="en-US" w:eastAsia="zh-CN"/>
        </w:rPr>
        <w:t>2.1Ⅰ级防御响应启动条件</w:t>
      </w:r>
      <w:bookmarkEnd w:id="915"/>
      <w:bookmarkEnd w:id="916"/>
      <w:bookmarkEnd w:id="917"/>
      <w:bookmarkEnd w:id="918"/>
      <w:bookmarkEnd w:id="919"/>
      <w:bookmarkEnd w:id="920"/>
      <w:bookmarkEnd w:id="921"/>
      <w:bookmarkEnd w:id="922"/>
      <w:bookmarkEnd w:id="923"/>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24" w:name="_Toc1956"/>
      <w:bookmarkStart w:id="925" w:name="_Toc31302"/>
      <w:bookmarkStart w:id="926" w:name="_Toc10654"/>
      <w:bookmarkStart w:id="927" w:name="_Toc8665"/>
      <w:bookmarkStart w:id="928" w:name="_Toc19783"/>
      <w:bookmarkStart w:id="929" w:name="_Toc17853"/>
      <w:bookmarkStart w:id="930" w:name="_Toc9129"/>
      <w:bookmarkStart w:id="931" w:name="_Toc22248"/>
      <w:bookmarkStart w:id="932" w:name="_Toc13906"/>
      <w:r>
        <w:rPr>
          <w:rFonts w:hint="eastAsia" w:ascii="仿宋_GB2312" w:hAnsi="仿宋_GB2312" w:eastAsia="仿宋_GB2312" w:cs="仿宋_GB2312"/>
          <w:sz w:val="32"/>
          <w:szCs w:val="32"/>
          <w:highlight w:val="none"/>
          <w:lang w:val="en-US" w:eastAsia="zh-CN"/>
        </w:rPr>
        <w:t>当发生下列情况之一的，启动Ⅰ级防御响应：</w:t>
      </w:r>
      <w:bookmarkEnd w:id="924"/>
      <w:bookmarkEnd w:id="925"/>
      <w:bookmarkEnd w:id="926"/>
      <w:bookmarkEnd w:id="927"/>
      <w:bookmarkEnd w:id="928"/>
      <w:bookmarkEnd w:id="929"/>
      <w:bookmarkEnd w:id="930"/>
      <w:bookmarkEnd w:id="931"/>
      <w:bookmarkEnd w:id="932"/>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33" w:name="_Toc30955"/>
      <w:bookmarkStart w:id="934" w:name="_Toc3893"/>
      <w:bookmarkStart w:id="935" w:name="_Toc14708"/>
      <w:bookmarkStart w:id="936" w:name="_Toc22883"/>
      <w:bookmarkStart w:id="937" w:name="_Toc15306"/>
      <w:bookmarkStart w:id="938" w:name="_Toc8137"/>
      <w:bookmarkStart w:id="939" w:name="_Toc15433"/>
      <w:bookmarkStart w:id="940" w:name="_Toc8604"/>
      <w:bookmarkStart w:id="941" w:name="_Toc1577"/>
      <w:r>
        <w:rPr>
          <w:rFonts w:hint="eastAsia" w:ascii="仿宋_GB2312" w:hAnsi="仿宋_GB2312" w:eastAsia="仿宋_GB2312" w:cs="仿宋_GB2312"/>
          <w:sz w:val="32"/>
          <w:szCs w:val="32"/>
          <w:highlight w:val="none"/>
          <w:lang w:val="en-US" w:eastAsia="zh-CN"/>
        </w:rPr>
        <w:t>（1）汛情达到以下情况之一：一条内河发生特大洪水；多条内河同时发生大洪水；内河重要河段提防发生决口；重点大型水库发生垮坝；</w:t>
      </w:r>
      <w:bookmarkEnd w:id="933"/>
      <w:bookmarkEnd w:id="934"/>
      <w:bookmarkEnd w:id="935"/>
      <w:bookmarkEnd w:id="936"/>
      <w:bookmarkEnd w:id="937"/>
      <w:bookmarkEnd w:id="938"/>
      <w:bookmarkEnd w:id="939"/>
      <w:bookmarkEnd w:id="940"/>
      <w:bookmarkEnd w:id="941"/>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42" w:name="_Toc10614"/>
      <w:bookmarkStart w:id="943" w:name="_Toc5644"/>
      <w:bookmarkStart w:id="944" w:name="_Toc2328"/>
      <w:bookmarkStart w:id="945" w:name="_Toc8274"/>
      <w:bookmarkStart w:id="946" w:name="_Toc9441"/>
      <w:bookmarkStart w:id="947" w:name="_Toc29410"/>
      <w:bookmarkStart w:id="948" w:name="_Toc5302"/>
      <w:bookmarkStart w:id="949" w:name="_Toc7397"/>
      <w:bookmarkStart w:id="950" w:name="_Toc13060"/>
      <w:r>
        <w:rPr>
          <w:rFonts w:hint="eastAsia" w:ascii="仿宋_GB2312" w:hAnsi="仿宋_GB2312" w:eastAsia="仿宋_GB2312" w:cs="仿宋_GB2312"/>
          <w:sz w:val="32"/>
          <w:szCs w:val="32"/>
          <w:highlight w:val="none"/>
          <w:lang w:val="en-US" w:eastAsia="zh-CN"/>
        </w:rPr>
        <w:t>（2）极端恶劣天气对交通造成特别重大损失和影响，以及上述灾害已经达到II级预警标准但仍可能持续发展。</w:t>
      </w:r>
      <w:bookmarkEnd w:id="942"/>
      <w:bookmarkEnd w:id="943"/>
      <w:bookmarkEnd w:id="944"/>
      <w:bookmarkEnd w:id="945"/>
      <w:bookmarkEnd w:id="946"/>
      <w:bookmarkEnd w:id="947"/>
      <w:bookmarkEnd w:id="948"/>
      <w:bookmarkEnd w:id="949"/>
      <w:bookmarkEnd w:id="950"/>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51" w:name="_Toc13423"/>
      <w:bookmarkStart w:id="952" w:name="_Toc16219"/>
      <w:bookmarkStart w:id="953" w:name="_Toc6136"/>
      <w:bookmarkStart w:id="954" w:name="_Toc12285"/>
      <w:bookmarkStart w:id="955" w:name="_Toc30436"/>
      <w:bookmarkStart w:id="956" w:name="_Toc25207"/>
      <w:bookmarkStart w:id="957" w:name="_Toc20431"/>
      <w:bookmarkStart w:id="958" w:name="_Toc26743"/>
      <w:bookmarkStart w:id="959" w:name="_Toc3988"/>
      <w:r>
        <w:rPr>
          <w:rFonts w:hint="eastAsia" w:ascii="仿宋_GB2312" w:hAnsi="仿宋_GB2312" w:eastAsia="仿宋_GB2312" w:cs="仿宋_GB2312"/>
          <w:sz w:val="32"/>
          <w:szCs w:val="32"/>
          <w:highlight w:val="none"/>
          <w:lang w:val="en-US" w:eastAsia="zh-CN"/>
        </w:rPr>
        <w:t>2.2II级防御响应启动条件</w:t>
      </w:r>
      <w:bookmarkEnd w:id="951"/>
      <w:bookmarkEnd w:id="952"/>
      <w:bookmarkEnd w:id="953"/>
      <w:bookmarkEnd w:id="954"/>
      <w:bookmarkEnd w:id="955"/>
      <w:bookmarkEnd w:id="956"/>
      <w:bookmarkEnd w:id="957"/>
      <w:bookmarkEnd w:id="958"/>
      <w:bookmarkEnd w:id="959"/>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60" w:name="_Toc29716"/>
      <w:bookmarkStart w:id="961" w:name="_Toc24704"/>
      <w:bookmarkStart w:id="962" w:name="_Toc12786"/>
      <w:bookmarkStart w:id="963" w:name="_Toc8470"/>
      <w:bookmarkStart w:id="964" w:name="_Toc15152"/>
      <w:bookmarkStart w:id="965" w:name="_Toc19744"/>
      <w:bookmarkStart w:id="966" w:name="_Toc18447"/>
      <w:bookmarkStart w:id="967" w:name="_Toc11035"/>
      <w:bookmarkStart w:id="968" w:name="_Toc13188"/>
      <w:r>
        <w:rPr>
          <w:rFonts w:hint="eastAsia" w:ascii="仿宋_GB2312" w:hAnsi="仿宋_GB2312" w:eastAsia="仿宋_GB2312" w:cs="仿宋_GB2312"/>
          <w:sz w:val="32"/>
          <w:szCs w:val="32"/>
          <w:highlight w:val="none"/>
          <w:lang w:val="en-US" w:eastAsia="zh-CN"/>
        </w:rPr>
        <w:t>当发生下列情况之一的，启动II级防御响应：</w:t>
      </w:r>
      <w:bookmarkEnd w:id="960"/>
      <w:bookmarkEnd w:id="961"/>
      <w:bookmarkEnd w:id="962"/>
      <w:bookmarkEnd w:id="963"/>
      <w:bookmarkEnd w:id="964"/>
      <w:bookmarkEnd w:id="965"/>
      <w:bookmarkEnd w:id="966"/>
      <w:bookmarkEnd w:id="967"/>
      <w:bookmarkEnd w:id="968"/>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69" w:name="_Toc25202"/>
      <w:bookmarkStart w:id="970" w:name="_Toc30061"/>
      <w:bookmarkStart w:id="971" w:name="_Toc29996"/>
      <w:bookmarkStart w:id="972" w:name="_Toc32613"/>
      <w:bookmarkStart w:id="973" w:name="_Toc1327"/>
      <w:bookmarkStart w:id="974" w:name="_Toc28273"/>
      <w:bookmarkStart w:id="975" w:name="_Toc28996"/>
      <w:bookmarkStart w:id="976" w:name="_Toc22280"/>
      <w:bookmarkStart w:id="977" w:name="_Toc11766"/>
      <w:r>
        <w:rPr>
          <w:rFonts w:hint="eastAsia" w:ascii="仿宋_GB2312" w:hAnsi="仿宋_GB2312" w:eastAsia="仿宋_GB2312" w:cs="仿宋_GB2312"/>
          <w:sz w:val="32"/>
          <w:szCs w:val="32"/>
          <w:highlight w:val="none"/>
          <w:lang w:val="en-US" w:eastAsia="zh-CN"/>
        </w:rPr>
        <w:t>（1）汛情达到以下情况之一：一条内河发生大洪水；内河一般河段及主要支流提防发生决口；一般大中型水库发生垮坝；</w:t>
      </w:r>
      <w:bookmarkEnd w:id="969"/>
      <w:bookmarkEnd w:id="970"/>
      <w:bookmarkEnd w:id="971"/>
      <w:bookmarkEnd w:id="972"/>
      <w:bookmarkEnd w:id="973"/>
      <w:bookmarkEnd w:id="974"/>
      <w:bookmarkEnd w:id="975"/>
      <w:bookmarkEnd w:id="976"/>
      <w:bookmarkEnd w:id="977"/>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78" w:name="_Toc25798"/>
      <w:bookmarkStart w:id="979" w:name="_Toc21265"/>
      <w:bookmarkStart w:id="980" w:name="_Toc30882"/>
      <w:bookmarkStart w:id="981" w:name="_Toc2815"/>
      <w:bookmarkStart w:id="982" w:name="_Toc10482"/>
      <w:bookmarkStart w:id="983" w:name="_Toc24065"/>
      <w:bookmarkStart w:id="984" w:name="_Toc19215"/>
      <w:bookmarkStart w:id="985" w:name="_Toc25231"/>
      <w:bookmarkStart w:id="986" w:name="_Toc26453"/>
      <w:r>
        <w:rPr>
          <w:rFonts w:hint="eastAsia" w:ascii="仿宋_GB2312" w:hAnsi="仿宋_GB2312" w:eastAsia="仿宋_GB2312" w:cs="仿宋_GB2312"/>
          <w:sz w:val="32"/>
          <w:szCs w:val="32"/>
          <w:highlight w:val="none"/>
          <w:lang w:val="en-US" w:eastAsia="zh-CN"/>
        </w:rPr>
        <w:t>（2）极端恶劣天气对交通造成特别重大损失和影响，以及上述灾害已经达到Ⅲ级预警标准但仍可能持续发展。</w:t>
      </w:r>
      <w:bookmarkEnd w:id="978"/>
      <w:bookmarkEnd w:id="979"/>
      <w:bookmarkEnd w:id="980"/>
      <w:bookmarkEnd w:id="981"/>
      <w:bookmarkEnd w:id="982"/>
      <w:bookmarkEnd w:id="983"/>
      <w:bookmarkEnd w:id="984"/>
      <w:bookmarkEnd w:id="985"/>
      <w:bookmarkEnd w:id="986"/>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87" w:name="_Toc18505"/>
      <w:bookmarkStart w:id="988" w:name="_Toc15225"/>
      <w:bookmarkStart w:id="989" w:name="_Toc20285"/>
      <w:bookmarkStart w:id="990" w:name="_Toc18755"/>
      <w:bookmarkStart w:id="991" w:name="_Toc5930"/>
      <w:bookmarkStart w:id="992" w:name="_Toc21340"/>
      <w:bookmarkStart w:id="993" w:name="_Toc14682"/>
      <w:bookmarkStart w:id="994" w:name="_Toc15921"/>
      <w:bookmarkStart w:id="995" w:name="_Toc16680"/>
      <w:r>
        <w:rPr>
          <w:rFonts w:hint="eastAsia" w:ascii="仿宋_GB2312" w:hAnsi="仿宋_GB2312" w:eastAsia="仿宋_GB2312" w:cs="仿宋_GB2312"/>
          <w:sz w:val="32"/>
          <w:szCs w:val="32"/>
          <w:highlight w:val="none"/>
          <w:lang w:val="en-US" w:eastAsia="zh-CN"/>
        </w:rPr>
        <w:t>2.3Ⅲ级防御响应启动条件</w:t>
      </w:r>
      <w:bookmarkEnd w:id="987"/>
      <w:bookmarkEnd w:id="988"/>
      <w:bookmarkEnd w:id="989"/>
      <w:bookmarkEnd w:id="990"/>
      <w:bookmarkEnd w:id="991"/>
      <w:bookmarkEnd w:id="992"/>
      <w:bookmarkEnd w:id="993"/>
      <w:bookmarkEnd w:id="994"/>
      <w:bookmarkEnd w:id="995"/>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996" w:name="_Toc27985"/>
      <w:bookmarkStart w:id="997" w:name="_Toc14195"/>
      <w:bookmarkStart w:id="998" w:name="_Toc12663"/>
      <w:bookmarkStart w:id="999" w:name="_Toc5653"/>
      <w:bookmarkStart w:id="1000" w:name="_Toc609"/>
      <w:bookmarkStart w:id="1001" w:name="_Toc14108"/>
      <w:bookmarkStart w:id="1002" w:name="_Toc6030"/>
      <w:bookmarkStart w:id="1003" w:name="_Toc23384"/>
      <w:bookmarkStart w:id="1004" w:name="_Toc21337"/>
      <w:r>
        <w:rPr>
          <w:rFonts w:hint="eastAsia" w:ascii="仿宋_GB2312" w:hAnsi="仿宋_GB2312" w:eastAsia="仿宋_GB2312" w:cs="仿宋_GB2312"/>
          <w:sz w:val="32"/>
          <w:szCs w:val="32"/>
          <w:highlight w:val="none"/>
          <w:lang w:val="en-US" w:eastAsia="zh-CN"/>
        </w:rPr>
        <w:t>当发生下列情况之一的，启动Ⅲ级防御响应：</w:t>
      </w:r>
      <w:bookmarkEnd w:id="996"/>
      <w:bookmarkEnd w:id="997"/>
      <w:bookmarkEnd w:id="998"/>
      <w:bookmarkEnd w:id="999"/>
      <w:bookmarkEnd w:id="1000"/>
      <w:bookmarkEnd w:id="1001"/>
      <w:bookmarkEnd w:id="1002"/>
      <w:bookmarkEnd w:id="1003"/>
      <w:bookmarkEnd w:id="1004"/>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1005" w:name="_Toc30822"/>
      <w:bookmarkStart w:id="1006" w:name="_Toc29329"/>
      <w:bookmarkStart w:id="1007" w:name="_Toc30200"/>
      <w:bookmarkStart w:id="1008" w:name="_Toc24339"/>
      <w:bookmarkStart w:id="1009" w:name="_Toc18960"/>
      <w:bookmarkStart w:id="1010" w:name="_Toc22784"/>
      <w:bookmarkStart w:id="1011" w:name="_Toc1660"/>
      <w:bookmarkStart w:id="1012" w:name="_Toc16136"/>
      <w:bookmarkStart w:id="1013" w:name="_Toc31473"/>
      <w:r>
        <w:rPr>
          <w:rFonts w:hint="eastAsia" w:ascii="仿宋_GB2312" w:hAnsi="仿宋_GB2312" w:eastAsia="仿宋_GB2312" w:cs="仿宋_GB2312"/>
          <w:sz w:val="32"/>
          <w:szCs w:val="32"/>
          <w:highlight w:val="none"/>
          <w:lang w:val="en-US" w:eastAsia="zh-CN"/>
        </w:rPr>
        <w:t>预计未来24小时，全省大部分地区将出现浓雾天气；</w:t>
      </w:r>
      <w:bookmarkEnd w:id="1005"/>
      <w:bookmarkEnd w:id="1006"/>
      <w:bookmarkEnd w:id="1007"/>
      <w:bookmarkEnd w:id="1008"/>
      <w:bookmarkEnd w:id="1009"/>
      <w:bookmarkEnd w:id="1010"/>
      <w:bookmarkEnd w:id="1011"/>
      <w:bookmarkEnd w:id="1012"/>
      <w:bookmarkEnd w:id="1013"/>
      <w:bookmarkStart w:id="1014" w:name="_Toc21490"/>
    </w:p>
    <w:bookmarkEnd w:id="1014"/>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1015" w:name="_Toc1616"/>
      <w:bookmarkStart w:id="1016" w:name="_Toc28969"/>
      <w:bookmarkStart w:id="1017" w:name="_Toc26347"/>
      <w:bookmarkStart w:id="1018" w:name="_Toc7927"/>
      <w:bookmarkStart w:id="1019" w:name="_Toc3445"/>
      <w:bookmarkStart w:id="1020" w:name="_Toc29522"/>
      <w:bookmarkStart w:id="1021" w:name="_Toc13596"/>
      <w:bookmarkStart w:id="1022" w:name="_Toc171"/>
      <w:bookmarkStart w:id="1023" w:name="_Toc5681"/>
      <w:r>
        <w:rPr>
          <w:rFonts w:hint="eastAsia" w:ascii="仿宋_GB2312" w:hAnsi="仿宋_GB2312" w:eastAsia="仿宋_GB2312" w:cs="仿宋_GB2312"/>
          <w:sz w:val="32"/>
          <w:szCs w:val="32"/>
          <w:highlight w:val="none"/>
          <w:lang w:val="en-US" w:eastAsia="zh-CN"/>
        </w:rPr>
        <w:t>（2）汛情达到以下情况之一：大中型水库出现严重险情；小型水库发生垮坝；</w:t>
      </w:r>
      <w:bookmarkEnd w:id="1015"/>
      <w:bookmarkEnd w:id="1016"/>
      <w:bookmarkEnd w:id="1017"/>
      <w:bookmarkEnd w:id="1018"/>
      <w:bookmarkEnd w:id="1019"/>
      <w:bookmarkEnd w:id="1020"/>
      <w:bookmarkEnd w:id="1021"/>
      <w:bookmarkEnd w:id="1022"/>
      <w:bookmarkEnd w:id="1023"/>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1024" w:name="_Toc6080"/>
      <w:bookmarkStart w:id="1025" w:name="_Toc13041"/>
      <w:bookmarkStart w:id="1026" w:name="_Toc29794"/>
      <w:bookmarkStart w:id="1027" w:name="_Toc17232"/>
      <w:bookmarkStart w:id="1028" w:name="_Toc10387"/>
      <w:bookmarkStart w:id="1029" w:name="_Toc31778"/>
      <w:bookmarkStart w:id="1030" w:name="_Toc24454"/>
      <w:bookmarkStart w:id="1031" w:name="_Toc321"/>
      <w:bookmarkStart w:id="1032" w:name="_Toc5282"/>
      <w:r>
        <w:rPr>
          <w:rFonts w:hint="eastAsia" w:ascii="仿宋_GB2312" w:hAnsi="仿宋_GB2312" w:eastAsia="仿宋_GB2312" w:cs="仿宋_GB2312"/>
          <w:sz w:val="32"/>
          <w:szCs w:val="32"/>
          <w:highlight w:val="none"/>
          <w:lang w:val="en-US" w:eastAsia="zh-CN"/>
        </w:rPr>
        <w:t>（3）极端恶劣天气对交通造成特别重大损失和影响，以及上述灾害已经达到Ⅳ级预警标准但仍可能持续发展。</w:t>
      </w:r>
      <w:bookmarkEnd w:id="1024"/>
      <w:bookmarkEnd w:id="1025"/>
      <w:bookmarkEnd w:id="1026"/>
      <w:bookmarkEnd w:id="1027"/>
      <w:bookmarkEnd w:id="1028"/>
      <w:bookmarkEnd w:id="1029"/>
      <w:bookmarkEnd w:id="1030"/>
      <w:bookmarkEnd w:id="1031"/>
      <w:bookmarkEnd w:id="1032"/>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1033" w:name="_Toc18611"/>
      <w:bookmarkStart w:id="1034" w:name="_Toc19093"/>
      <w:bookmarkStart w:id="1035" w:name="_Toc2773"/>
      <w:bookmarkStart w:id="1036" w:name="_Toc17356"/>
      <w:bookmarkStart w:id="1037" w:name="_Toc1112"/>
      <w:bookmarkStart w:id="1038" w:name="_Toc2801"/>
      <w:bookmarkStart w:id="1039" w:name="_Toc23989"/>
      <w:bookmarkStart w:id="1040" w:name="_Toc2522"/>
      <w:bookmarkStart w:id="1041" w:name="_Toc11659"/>
      <w:r>
        <w:rPr>
          <w:rFonts w:hint="eastAsia" w:ascii="仿宋_GB2312" w:hAnsi="仿宋_GB2312" w:eastAsia="仿宋_GB2312" w:cs="仿宋_GB2312"/>
          <w:sz w:val="32"/>
          <w:szCs w:val="32"/>
          <w:highlight w:val="none"/>
          <w:lang w:val="en-US" w:eastAsia="zh-CN"/>
        </w:rPr>
        <w:t>2.4Ⅳ级防御响应启动条件</w:t>
      </w:r>
      <w:bookmarkEnd w:id="1033"/>
      <w:bookmarkEnd w:id="1034"/>
      <w:bookmarkEnd w:id="1035"/>
      <w:bookmarkEnd w:id="1036"/>
      <w:bookmarkEnd w:id="1037"/>
      <w:bookmarkEnd w:id="1038"/>
      <w:bookmarkEnd w:id="1039"/>
      <w:bookmarkEnd w:id="1040"/>
      <w:bookmarkEnd w:id="1041"/>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1042" w:name="_Toc2660"/>
      <w:bookmarkStart w:id="1043" w:name="_Toc6190"/>
      <w:bookmarkStart w:id="1044" w:name="_Toc32551"/>
      <w:bookmarkStart w:id="1045" w:name="_Toc11310"/>
      <w:bookmarkStart w:id="1046" w:name="_Toc5343"/>
      <w:bookmarkStart w:id="1047" w:name="_Toc23592"/>
      <w:bookmarkStart w:id="1048" w:name="_Toc17826"/>
      <w:bookmarkStart w:id="1049" w:name="_Toc18140"/>
      <w:bookmarkStart w:id="1050" w:name="_Toc31165"/>
      <w:r>
        <w:rPr>
          <w:rFonts w:hint="eastAsia" w:ascii="仿宋_GB2312" w:hAnsi="仿宋_GB2312" w:eastAsia="仿宋_GB2312" w:cs="仿宋_GB2312"/>
          <w:sz w:val="32"/>
          <w:szCs w:val="32"/>
          <w:highlight w:val="none"/>
          <w:lang w:val="en-US" w:eastAsia="zh-CN"/>
        </w:rPr>
        <w:t>当发生下列情况之一的，启动Ⅳ级防御响应：</w:t>
      </w:r>
      <w:bookmarkEnd w:id="1042"/>
      <w:bookmarkEnd w:id="1043"/>
      <w:bookmarkEnd w:id="1044"/>
      <w:bookmarkEnd w:id="1045"/>
      <w:bookmarkEnd w:id="1046"/>
      <w:bookmarkEnd w:id="1047"/>
      <w:bookmarkEnd w:id="1048"/>
      <w:bookmarkEnd w:id="1049"/>
      <w:bookmarkEnd w:id="1050"/>
    </w:p>
    <w:p>
      <w:pPr>
        <w:bidi w:val="0"/>
        <w:spacing w:line="560" w:lineRule="exact"/>
        <w:ind w:firstLine="640" w:firstLineChars="200"/>
        <w:rPr>
          <w:rFonts w:hint="eastAsia" w:ascii="仿宋_GB2312" w:hAnsi="仿宋_GB2312" w:eastAsia="仿宋_GB2312" w:cs="仿宋_GB2312"/>
          <w:sz w:val="32"/>
          <w:szCs w:val="32"/>
          <w:highlight w:val="none"/>
          <w:lang w:val="en-US" w:eastAsia="zh-CN"/>
        </w:rPr>
      </w:pPr>
      <w:bookmarkStart w:id="1051" w:name="_Toc27940"/>
      <w:bookmarkStart w:id="1052" w:name="_Toc18926"/>
      <w:bookmarkStart w:id="1053" w:name="_Toc29135"/>
      <w:bookmarkStart w:id="1054" w:name="_Toc40"/>
      <w:bookmarkStart w:id="1055" w:name="_Toc19238"/>
      <w:bookmarkStart w:id="1056" w:name="_Toc23509"/>
      <w:bookmarkStart w:id="1057" w:name="_Toc18211"/>
      <w:bookmarkStart w:id="1058" w:name="_Toc25087"/>
      <w:bookmarkStart w:id="1059" w:name="_Toc8712"/>
      <w:r>
        <w:rPr>
          <w:rFonts w:hint="eastAsia" w:ascii="仿宋_GB2312" w:hAnsi="仿宋_GB2312" w:eastAsia="仿宋_GB2312" w:cs="仿宋_GB2312"/>
          <w:sz w:val="32"/>
          <w:szCs w:val="32"/>
          <w:highlight w:val="none"/>
          <w:lang w:val="en-US" w:eastAsia="zh-CN"/>
        </w:rPr>
        <w:t>（1）预计未来24小时，全省大部分地区将出现大雾天气；</w:t>
      </w:r>
      <w:bookmarkEnd w:id="1051"/>
      <w:bookmarkEnd w:id="1052"/>
      <w:bookmarkEnd w:id="1053"/>
      <w:bookmarkEnd w:id="1054"/>
      <w:bookmarkEnd w:id="1055"/>
      <w:bookmarkEnd w:id="1056"/>
      <w:bookmarkEnd w:id="1057"/>
      <w:bookmarkEnd w:id="1058"/>
      <w:bookmarkEnd w:id="1059"/>
    </w:p>
    <w:p>
      <w:pPr>
        <w:bidi w:val="0"/>
        <w:spacing w:line="560" w:lineRule="exact"/>
        <w:ind w:firstLine="640" w:firstLineChars="200"/>
        <w:rPr>
          <w:highlight w:val="none"/>
        </w:rPr>
      </w:pPr>
      <w:bookmarkStart w:id="1060" w:name="_Toc1982"/>
      <w:bookmarkStart w:id="1061" w:name="_Toc26782"/>
      <w:bookmarkStart w:id="1062" w:name="_Toc22066"/>
      <w:bookmarkStart w:id="1063" w:name="_Toc4873"/>
      <w:bookmarkStart w:id="1064" w:name="_Toc3208"/>
      <w:bookmarkStart w:id="1065" w:name="_Toc13090"/>
      <w:bookmarkStart w:id="1066" w:name="_Toc19266"/>
      <w:bookmarkStart w:id="1067" w:name="_Toc30671"/>
      <w:bookmarkStart w:id="1068" w:name="_Toc258"/>
      <w:r>
        <w:rPr>
          <w:rFonts w:hint="eastAsia" w:ascii="仿宋_GB2312" w:hAnsi="仿宋_GB2312" w:eastAsia="仿宋_GB2312" w:cs="仿宋_GB2312"/>
          <w:sz w:val="32"/>
          <w:szCs w:val="32"/>
          <w:highlight w:val="none"/>
          <w:lang w:val="en-US" w:eastAsia="zh-CN"/>
        </w:rPr>
        <w:t>（2）对交通运输安全及生产造成一定损失和影响的极端恶劣天气。</w:t>
      </w:r>
      <w:bookmarkEnd w:id="1060"/>
      <w:bookmarkEnd w:id="1061"/>
      <w:bookmarkEnd w:id="1062"/>
      <w:bookmarkEnd w:id="1063"/>
      <w:bookmarkEnd w:id="1064"/>
      <w:bookmarkEnd w:id="1065"/>
      <w:bookmarkEnd w:id="1066"/>
      <w:bookmarkEnd w:id="1067"/>
      <w:bookmarkEnd w:id="1068"/>
    </w:p>
    <w:p>
      <w:pPr>
        <w:widowControl w:val="0"/>
        <w:kinsoku w:val="0"/>
        <w:wordWrap/>
        <w:overflowPunct w:val="0"/>
        <w:adjustRightInd/>
        <w:snapToGrid/>
        <w:spacing w:line="560" w:lineRule="exact"/>
        <w:ind w:left="0" w:leftChars="0" w:firstLine="640" w:firstLineChars="200"/>
        <w:textAlignment w:val="auto"/>
        <w:outlineLvl w:val="9"/>
        <w:rPr>
          <w:rFonts w:hint="eastAsia" w:ascii="黑体" w:hAnsi="黑体" w:eastAsia="黑体"/>
          <w:b w:val="0"/>
          <w:color w:val="auto"/>
          <w:sz w:val="32"/>
          <w:highlight w:val="none"/>
          <w:lang w:val="en-US" w:eastAsia="zh-CN"/>
        </w:rPr>
      </w:pPr>
      <w:bookmarkStart w:id="1069" w:name="_Toc14332"/>
      <w:r>
        <w:rPr>
          <w:rFonts w:hint="eastAsia" w:ascii="黑体" w:hAnsi="黑体" w:eastAsia="黑体"/>
          <w:b w:val="0"/>
          <w:color w:val="auto"/>
          <w:sz w:val="32"/>
          <w:highlight w:val="none"/>
          <w:lang w:val="en-US" w:eastAsia="zh-CN"/>
        </w:rPr>
        <w:t>9.</w:t>
      </w:r>
      <w:bookmarkStart w:id="1070" w:name="_Toc27567"/>
      <w:r>
        <w:rPr>
          <w:rFonts w:hint="eastAsia" w:ascii="黑体" w:hAnsi="黑体" w:eastAsia="黑体"/>
          <w:b w:val="0"/>
          <w:color w:val="auto"/>
          <w:sz w:val="32"/>
          <w:highlight w:val="none"/>
          <w:lang w:val="en-US" w:eastAsia="zh-CN"/>
        </w:rPr>
        <w:t>10海南省突发事件分类分级标准</w:t>
      </w:r>
      <w:bookmarkEnd w:id="1069"/>
      <w:bookmarkEnd w:id="1070"/>
    </w:p>
    <w:p>
      <w:pPr>
        <w:bidi w:val="0"/>
        <w:ind w:firstLine="640" w:firstLineChars="200"/>
        <w:rPr>
          <w:rFonts w:hint="eastAsia" w:ascii="黑体" w:hAnsi="黑体" w:eastAsia="黑体" w:cs="黑体"/>
          <w:sz w:val="32"/>
          <w:szCs w:val="32"/>
          <w:highlight w:val="none"/>
        </w:rPr>
      </w:pPr>
      <w:bookmarkStart w:id="1071" w:name="_Toc16699_WPSOffice_Level1"/>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自然灾害类</w:t>
      </w:r>
      <w:bookmarkEnd w:id="1071"/>
    </w:p>
    <w:p>
      <w:pPr>
        <w:bidi w:val="0"/>
        <w:ind w:firstLine="640" w:firstLineChars="200"/>
        <w:rPr>
          <w:rFonts w:hint="eastAsia" w:ascii="楷体_GB2312" w:hAnsi="楷体_GB2312" w:eastAsia="楷体_GB2312" w:cs="楷体_GB2312"/>
          <w:b w:val="0"/>
          <w:bCs/>
          <w:color w:val="auto"/>
          <w:sz w:val="32"/>
          <w:szCs w:val="32"/>
          <w:highlight w:val="none"/>
        </w:rPr>
      </w:pPr>
      <w:bookmarkStart w:id="1072" w:name="_Toc17856_WPSOffice_Level2"/>
      <w:r>
        <w:rPr>
          <w:rFonts w:hint="eastAsia" w:ascii="楷体_GB2312" w:hAnsi="楷体_GB2312" w:eastAsia="楷体_GB2312" w:cs="楷体_GB2312"/>
          <w:b w:val="0"/>
          <w:bCs/>
          <w:color w:val="auto"/>
          <w:sz w:val="32"/>
          <w:szCs w:val="32"/>
          <w:highlight w:val="none"/>
          <w:lang w:eastAsia="zh-CN"/>
        </w:rPr>
        <w:t>（一）</w:t>
      </w:r>
      <w:r>
        <w:rPr>
          <w:rFonts w:hint="eastAsia" w:ascii="楷体_GB2312" w:hAnsi="楷体_GB2312" w:eastAsia="楷体_GB2312" w:cs="楷体_GB2312"/>
          <w:b w:val="0"/>
          <w:bCs/>
          <w:color w:val="auto"/>
          <w:sz w:val="32"/>
          <w:szCs w:val="32"/>
          <w:highlight w:val="none"/>
        </w:rPr>
        <w:t>地震灾害</w:t>
      </w:r>
      <w:bookmarkEnd w:id="1072"/>
    </w:p>
    <w:tbl>
      <w:tblPr>
        <w:tblStyle w:val="10"/>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2439"/>
        <w:gridCol w:w="2026"/>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jc w:val="center"/>
        </w:trPr>
        <w:tc>
          <w:tcPr>
            <w:tcW w:w="15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tabs>
                <w:tab w:val="left" w:pos="1171"/>
              </w:tabs>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黑体" w:hAnsi="黑体" w:eastAsia="黑体" w:cs="Calibri"/>
                <w:b w:val="0"/>
                <w:bCs/>
                <w:color w:val="auto"/>
                <w:kern w:val="2"/>
                <w:sz w:val="24"/>
                <w:szCs w:val="22"/>
                <w:highlight w:val="none"/>
              </w:rPr>
            </w:pPr>
            <w:r>
              <w:rPr>
                <w:rFonts w:hint="eastAsia" w:ascii="黑体" w:hAnsi="黑体" w:eastAsia="黑体" w:cs="Calibri"/>
                <w:b w:val="0"/>
                <w:bCs/>
                <w:color w:val="auto"/>
                <w:kern w:val="2"/>
                <w:sz w:val="24"/>
                <w:szCs w:val="22"/>
                <w:highlight w:val="none"/>
              </w:rPr>
              <w:t>地震灾害</w:t>
            </w:r>
          </w:p>
          <w:p>
            <w:pPr>
              <w:pStyle w:val="12"/>
              <w:widowControl w:val="0"/>
              <w:tabs>
                <w:tab w:val="left" w:pos="1171"/>
              </w:tabs>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default" w:ascii="Calibri" w:hAnsi="Calibri" w:cs="Calibri"/>
                <w:color w:val="auto"/>
                <w:kern w:val="2"/>
                <w:sz w:val="24"/>
                <w:szCs w:val="22"/>
                <w:highlight w:val="none"/>
              </w:rPr>
            </w:pPr>
            <w:r>
              <w:rPr>
                <w:rFonts w:hint="eastAsia" w:ascii="黑体" w:hAnsi="黑体" w:eastAsia="黑体" w:cs="Calibri"/>
                <w:b w:val="0"/>
                <w:bCs/>
                <w:color w:val="auto"/>
                <w:kern w:val="2"/>
                <w:sz w:val="24"/>
                <w:szCs w:val="22"/>
                <w:highlight w:val="none"/>
              </w:rPr>
              <w:t>等级</w:t>
            </w:r>
          </w:p>
        </w:tc>
        <w:tc>
          <w:tcPr>
            <w:tcW w:w="446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黑体" w:hAnsi="黑体" w:eastAsia="黑体" w:cs="Calibri"/>
                <w:color w:val="auto"/>
                <w:kern w:val="2"/>
                <w:sz w:val="24"/>
                <w:szCs w:val="22"/>
                <w:highlight w:val="none"/>
              </w:rPr>
              <w:t>分级标准</w:t>
            </w:r>
          </w:p>
        </w:tc>
        <w:tc>
          <w:tcPr>
            <w:tcW w:w="29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黑体" w:hAnsi="黑体" w:eastAsia="黑体" w:cs="Calibri"/>
                <w:color w:val="auto"/>
                <w:kern w:val="2"/>
                <w:sz w:val="24"/>
                <w:szCs w:val="22"/>
                <w:highlight w:val="none"/>
              </w:rPr>
              <w:t>初判标准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jc w:val="center"/>
        </w:trPr>
        <w:tc>
          <w:tcPr>
            <w:tcW w:w="15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243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人员死亡</w:t>
            </w:r>
          </w:p>
        </w:tc>
        <w:tc>
          <w:tcPr>
            <w:tcW w:w="20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经济损失占年生产总值比例</w:t>
            </w:r>
          </w:p>
        </w:tc>
        <w:tc>
          <w:tcPr>
            <w:tcW w:w="29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发生在人口稠密区地震的震级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jc w:val="center"/>
        </w:trPr>
        <w:tc>
          <w:tcPr>
            <w:tcW w:w="157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特别重大</w:t>
            </w:r>
          </w:p>
        </w:tc>
        <w:tc>
          <w:tcPr>
            <w:tcW w:w="243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300人以上</w:t>
            </w:r>
          </w:p>
        </w:tc>
        <w:tc>
          <w:tcPr>
            <w:tcW w:w="20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1%以上</w:t>
            </w:r>
          </w:p>
        </w:tc>
        <w:tc>
          <w:tcPr>
            <w:tcW w:w="29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7.0级以上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157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tabs>
                <w:tab w:val="left" w:pos="1050"/>
              </w:tabs>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重</w:t>
            </w:r>
            <w:r>
              <w:rPr>
                <w:rFonts w:hint="eastAsia" w:ascii="宋体" w:hAnsi="宋体" w:eastAsia="宋体" w:cs="Calibri"/>
                <w:color w:val="auto"/>
                <w:kern w:val="2"/>
                <w:sz w:val="24"/>
                <w:szCs w:val="22"/>
                <w:highlight w:val="none"/>
                <w:lang w:val="en-US" w:eastAsia="zh-CN"/>
              </w:rPr>
              <w:t xml:space="preserve">  </w:t>
            </w:r>
            <w:r>
              <w:rPr>
                <w:rFonts w:hint="eastAsia" w:ascii="宋体" w:hAnsi="宋体" w:eastAsia="宋体" w:cs="Calibri"/>
                <w:color w:val="auto"/>
                <w:kern w:val="2"/>
                <w:sz w:val="24"/>
                <w:szCs w:val="22"/>
                <w:highlight w:val="none"/>
              </w:rPr>
              <w:t>大</w:t>
            </w:r>
          </w:p>
        </w:tc>
        <w:tc>
          <w:tcPr>
            <w:tcW w:w="243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50—299</w:t>
            </w:r>
            <w:r>
              <w:rPr>
                <w:rFonts w:hint="eastAsia" w:ascii="宋体" w:hAnsi="宋体" w:eastAsia="宋体" w:cs="Calibri"/>
                <w:color w:val="auto"/>
                <w:kern w:val="2"/>
                <w:sz w:val="24"/>
                <w:szCs w:val="22"/>
                <w:highlight w:val="none"/>
                <w:lang w:eastAsia="zh-CN"/>
              </w:rPr>
              <w:t>（</w:t>
            </w:r>
            <w:r>
              <w:rPr>
                <w:rFonts w:hint="eastAsia" w:ascii="宋体" w:hAnsi="宋体" w:eastAsia="宋体" w:cs="Calibri"/>
                <w:color w:val="auto"/>
                <w:kern w:val="2"/>
                <w:sz w:val="24"/>
                <w:szCs w:val="22"/>
                <w:highlight w:val="none"/>
              </w:rPr>
              <w:t>人）</w:t>
            </w:r>
          </w:p>
        </w:tc>
        <w:tc>
          <w:tcPr>
            <w:tcW w:w="20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w:t>
            </w:r>
          </w:p>
        </w:tc>
        <w:tc>
          <w:tcPr>
            <w:tcW w:w="29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6.0—7.0级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157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 xml:space="preserve">较 </w:t>
            </w:r>
            <w:r>
              <w:rPr>
                <w:rFonts w:hint="eastAsia" w:ascii="宋体" w:hAnsi="宋体" w:eastAsia="宋体" w:cs="Calibri"/>
                <w:color w:val="auto"/>
                <w:kern w:val="2"/>
                <w:sz w:val="24"/>
                <w:szCs w:val="22"/>
                <w:highlight w:val="none"/>
                <w:lang w:val="en-US" w:eastAsia="zh-CN"/>
              </w:rPr>
              <w:t xml:space="preserve"> </w:t>
            </w:r>
            <w:r>
              <w:rPr>
                <w:rFonts w:hint="eastAsia" w:ascii="宋体" w:hAnsi="宋体" w:eastAsia="宋体" w:cs="Calibri"/>
                <w:color w:val="auto"/>
                <w:kern w:val="2"/>
                <w:sz w:val="24"/>
                <w:szCs w:val="22"/>
                <w:highlight w:val="none"/>
              </w:rPr>
              <w:t>大</w:t>
            </w:r>
          </w:p>
        </w:tc>
        <w:tc>
          <w:tcPr>
            <w:tcW w:w="243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20-49</w:t>
            </w:r>
            <w:r>
              <w:rPr>
                <w:rFonts w:hint="eastAsia" w:ascii="宋体" w:hAnsi="宋体" w:eastAsia="宋体" w:cs="Calibri"/>
                <w:color w:val="auto"/>
                <w:kern w:val="2"/>
                <w:sz w:val="24"/>
                <w:szCs w:val="22"/>
                <w:highlight w:val="none"/>
                <w:lang w:eastAsia="zh-CN"/>
              </w:rPr>
              <w:t>（</w:t>
            </w:r>
            <w:r>
              <w:rPr>
                <w:rFonts w:hint="eastAsia" w:ascii="宋体" w:hAnsi="宋体" w:eastAsia="宋体" w:cs="Calibri"/>
                <w:color w:val="auto"/>
                <w:kern w:val="2"/>
                <w:sz w:val="24"/>
                <w:szCs w:val="22"/>
                <w:highlight w:val="none"/>
              </w:rPr>
              <w:t>人）</w:t>
            </w:r>
          </w:p>
        </w:tc>
        <w:tc>
          <w:tcPr>
            <w:tcW w:w="20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w:t>
            </w:r>
          </w:p>
        </w:tc>
        <w:tc>
          <w:tcPr>
            <w:tcW w:w="29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5.5—6.0级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jc w:val="center"/>
        </w:trPr>
        <w:tc>
          <w:tcPr>
            <w:tcW w:w="157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 xml:space="preserve">一 </w:t>
            </w:r>
            <w:r>
              <w:rPr>
                <w:rFonts w:hint="eastAsia" w:ascii="宋体" w:hAnsi="宋体" w:eastAsia="宋体" w:cs="Calibri"/>
                <w:color w:val="auto"/>
                <w:kern w:val="2"/>
                <w:sz w:val="24"/>
                <w:szCs w:val="22"/>
                <w:highlight w:val="none"/>
                <w:lang w:val="en-US" w:eastAsia="zh-CN"/>
              </w:rPr>
              <w:t xml:space="preserve"> </w:t>
            </w:r>
            <w:r>
              <w:rPr>
                <w:rFonts w:hint="eastAsia" w:ascii="宋体" w:hAnsi="宋体" w:eastAsia="宋体" w:cs="Calibri"/>
                <w:color w:val="auto"/>
                <w:kern w:val="2"/>
                <w:sz w:val="24"/>
                <w:szCs w:val="22"/>
                <w:highlight w:val="none"/>
              </w:rPr>
              <w:t>般</w:t>
            </w:r>
          </w:p>
        </w:tc>
        <w:tc>
          <w:tcPr>
            <w:tcW w:w="243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1-19</w:t>
            </w:r>
            <w:r>
              <w:rPr>
                <w:rFonts w:hint="eastAsia" w:ascii="宋体" w:hAnsi="宋体" w:eastAsia="宋体" w:cs="Calibri"/>
                <w:color w:val="auto"/>
                <w:kern w:val="2"/>
                <w:sz w:val="24"/>
                <w:szCs w:val="22"/>
                <w:highlight w:val="none"/>
                <w:lang w:eastAsia="zh-CN"/>
              </w:rPr>
              <w:t>（</w:t>
            </w:r>
            <w:r>
              <w:rPr>
                <w:rFonts w:hint="eastAsia" w:ascii="宋体" w:hAnsi="宋体" w:eastAsia="宋体" w:cs="Calibri"/>
                <w:color w:val="auto"/>
                <w:kern w:val="2"/>
                <w:sz w:val="24"/>
                <w:szCs w:val="22"/>
                <w:highlight w:val="none"/>
              </w:rPr>
              <w:t>人）</w:t>
            </w:r>
          </w:p>
        </w:tc>
        <w:tc>
          <w:tcPr>
            <w:tcW w:w="20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w:t>
            </w:r>
          </w:p>
        </w:tc>
        <w:tc>
          <w:tcPr>
            <w:tcW w:w="296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5.0—5.5级</w:t>
            </w:r>
          </w:p>
        </w:tc>
      </w:tr>
    </w:tbl>
    <w:p>
      <w:pPr>
        <w:bidi w:val="0"/>
        <w:spacing w:line="360" w:lineRule="exact"/>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〔注：依据《国家地震应急预案》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2005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36号）制表。〕</w:t>
      </w:r>
    </w:p>
    <w:p>
      <w:pPr>
        <w:bidi w:val="0"/>
        <w:spacing w:line="360" w:lineRule="exact"/>
        <w:ind w:firstLine="640" w:firstLineChars="200"/>
        <w:rPr>
          <w:rFonts w:hint="eastAsia" w:ascii="楷体_GB2312" w:hAnsi="楷体_GB2312" w:eastAsia="楷体_GB2312" w:cs="楷体_GB2312"/>
          <w:sz w:val="32"/>
          <w:szCs w:val="32"/>
          <w:highlight w:val="none"/>
          <w:lang w:eastAsia="zh-CN"/>
        </w:rPr>
      </w:pPr>
      <w:bookmarkStart w:id="1073" w:name="_Toc13602_WPSOffice_Level2"/>
      <w:r>
        <w:rPr>
          <w:rFonts w:hint="eastAsia" w:ascii="楷体_GB2312" w:hAnsi="楷体_GB2312" w:eastAsia="楷体_GB2312" w:cs="楷体_GB2312"/>
          <w:sz w:val="32"/>
          <w:szCs w:val="32"/>
          <w:highlight w:val="none"/>
          <w:lang w:eastAsia="zh-CN"/>
        </w:rPr>
        <w:t>（二）地质灾害</w:t>
      </w:r>
      <w:bookmarkEnd w:id="1073"/>
    </w:p>
    <w:tbl>
      <w:tblPr>
        <w:tblStyle w:val="10"/>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2031"/>
        <w:gridCol w:w="1935"/>
        <w:gridCol w:w="1674"/>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1451" w:type="dxa"/>
            <w:vMerge w:val="restart"/>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仿宋_GB2312" w:hAnsi="仿宋_GB2312" w:eastAsia="仿宋_GB2312" w:cs="Calibri"/>
                <w:b/>
                <w:color w:val="auto"/>
                <w:kern w:val="2"/>
                <w:sz w:val="17"/>
                <w:szCs w:val="22"/>
                <w:highlight w:val="none"/>
              </w:rPr>
            </w:pPr>
          </w:p>
          <w:p>
            <w:pPr>
              <w:pStyle w:val="12"/>
              <w:widowControl w:val="0"/>
              <w:tabs>
                <w:tab w:val="left" w:pos="925"/>
              </w:tabs>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 xml:space="preserve">地质灾害 </w:t>
            </w:r>
          </w:p>
          <w:p>
            <w:pPr>
              <w:pStyle w:val="12"/>
              <w:widowControl w:val="0"/>
              <w:tabs>
                <w:tab w:val="left" w:pos="925"/>
              </w:tabs>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等级</w:t>
            </w:r>
          </w:p>
        </w:tc>
        <w:tc>
          <w:tcPr>
            <w:tcW w:w="3966" w:type="dxa"/>
            <w:gridSpan w:val="2"/>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险 情</w:t>
            </w:r>
          </w:p>
        </w:tc>
        <w:tc>
          <w:tcPr>
            <w:tcW w:w="3584" w:type="dxa"/>
            <w:gridSpan w:val="2"/>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灾 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jc w:val="center"/>
        </w:trPr>
        <w:tc>
          <w:tcPr>
            <w:tcW w:w="1451" w:type="dxa"/>
            <w:vMerge w:val="continue"/>
            <w:tcBorders>
              <w:tl2br w:val="nil"/>
              <w:tr2bl w:val="nil"/>
            </w:tcBorders>
            <w:noWrap w:val="0"/>
            <w:vAlign w:val="top"/>
          </w:tcPr>
          <w:p>
            <w:pPr>
              <w:widowControl w:val="0"/>
              <w:wordWrap/>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p>
        </w:tc>
        <w:tc>
          <w:tcPr>
            <w:tcW w:w="2031"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需搬迁转移人数</w:t>
            </w:r>
          </w:p>
        </w:tc>
        <w:tc>
          <w:tcPr>
            <w:tcW w:w="1935"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潜在经济损失</w:t>
            </w: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万元）</w:t>
            </w:r>
          </w:p>
        </w:tc>
        <w:tc>
          <w:tcPr>
            <w:tcW w:w="1674"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因灾死亡和 失踪人数</w:t>
            </w:r>
          </w:p>
        </w:tc>
        <w:tc>
          <w:tcPr>
            <w:tcW w:w="191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4"/>
                <w:szCs w:val="22"/>
                <w:highlight w:val="none"/>
              </w:rPr>
              <w:t>直接经济损失</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jc w:val="center"/>
        </w:trPr>
        <w:tc>
          <w:tcPr>
            <w:tcW w:w="1451"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特大型</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lang w:eastAsia="zh-CN"/>
              </w:rPr>
              <w:t>（</w:t>
            </w:r>
            <w:r>
              <w:rPr>
                <w:rFonts w:hint="eastAsia" w:ascii="新宋体" w:hAnsi="新宋体" w:eastAsia="新宋体" w:cs="Calibri"/>
                <w:b/>
                <w:color w:val="auto"/>
                <w:kern w:val="2"/>
                <w:sz w:val="21"/>
                <w:szCs w:val="22"/>
                <w:highlight w:val="none"/>
              </w:rPr>
              <w:t>Ⅰ</w:t>
            </w:r>
            <w:r>
              <w:rPr>
                <w:rFonts w:hint="eastAsia" w:ascii="宋体" w:hAnsi="宋体" w:eastAsia="宋体" w:cs="Calibri"/>
                <w:b/>
                <w:color w:val="auto"/>
                <w:kern w:val="2"/>
                <w:sz w:val="21"/>
                <w:szCs w:val="22"/>
                <w:highlight w:val="none"/>
              </w:rPr>
              <w:t>级）</w:t>
            </w:r>
          </w:p>
        </w:tc>
        <w:tc>
          <w:tcPr>
            <w:tcW w:w="2031"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1000</w:t>
            </w:r>
            <w:r>
              <w:rPr>
                <w:rFonts w:hint="eastAsia" w:ascii="宋体" w:hAnsi="宋体" w:eastAsia="宋体" w:cs="Calibri"/>
                <w:b/>
                <w:color w:val="auto"/>
                <w:kern w:val="2"/>
                <w:sz w:val="21"/>
                <w:szCs w:val="22"/>
                <w:highlight w:val="none"/>
              </w:rPr>
              <w:t>人以上</w:t>
            </w:r>
          </w:p>
        </w:tc>
        <w:tc>
          <w:tcPr>
            <w:tcW w:w="19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10000</w:t>
            </w: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万元）以上</w:t>
            </w:r>
          </w:p>
        </w:tc>
        <w:tc>
          <w:tcPr>
            <w:tcW w:w="167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30</w:t>
            </w:r>
            <w:r>
              <w:rPr>
                <w:rFonts w:hint="eastAsia" w:ascii="宋体" w:hAnsi="宋体" w:eastAsia="宋体" w:cs="Calibri"/>
                <w:b/>
                <w:color w:val="auto"/>
                <w:kern w:val="2"/>
                <w:sz w:val="21"/>
                <w:szCs w:val="22"/>
                <w:highlight w:val="none"/>
              </w:rPr>
              <w:t>人以上</w:t>
            </w:r>
          </w:p>
        </w:tc>
        <w:tc>
          <w:tcPr>
            <w:tcW w:w="19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1000</w:t>
            </w:r>
            <w:r>
              <w:rPr>
                <w:rFonts w:hint="eastAsia" w:ascii="宋体" w:hAnsi="宋体" w:eastAsia="宋体" w:cs="Calibri"/>
                <w:b/>
                <w:color w:val="auto"/>
                <w:kern w:val="2"/>
                <w:sz w:val="21"/>
                <w:szCs w:val="22"/>
                <w:highlight w:val="none"/>
              </w:rPr>
              <w:t>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exact"/>
          <w:jc w:val="center"/>
        </w:trPr>
        <w:tc>
          <w:tcPr>
            <w:tcW w:w="1451"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大型</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lang w:eastAsia="zh-CN"/>
              </w:rPr>
              <w:t>（</w:t>
            </w:r>
            <w:r>
              <w:rPr>
                <w:rFonts w:hint="eastAsia" w:ascii="新宋体" w:hAnsi="新宋体" w:eastAsia="新宋体" w:cs="Calibri"/>
                <w:b/>
                <w:color w:val="auto"/>
                <w:kern w:val="2"/>
                <w:sz w:val="21"/>
                <w:szCs w:val="22"/>
                <w:highlight w:val="none"/>
              </w:rPr>
              <w:t>Ⅱ</w:t>
            </w:r>
            <w:r>
              <w:rPr>
                <w:rFonts w:hint="eastAsia" w:ascii="宋体" w:hAnsi="宋体" w:eastAsia="宋体" w:cs="Calibri"/>
                <w:b/>
                <w:color w:val="auto"/>
                <w:kern w:val="2"/>
                <w:sz w:val="21"/>
                <w:szCs w:val="22"/>
                <w:highlight w:val="none"/>
              </w:rPr>
              <w:t>级）</w:t>
            </w:r>
          </w:p>
        </w:tc>
        <w:tc>
          <w:tcPr>
            <w:tcW w:w="2031"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500~999</w:t>
            </w: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人）</w:t>
            </w:r>
          </w:p>
        </w:tc>
        <w:tc>
          <w:tcPr>
            <w:tcW w:w="19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eastAsia="Calibri" w:cs="Calibri"/>
                <w:color w:val="auto"/>
                <w:kern w:val="2"/>
                <w:sz w:val="21"/>
                <w:szCs w:val="22"/>
                <w:highlight w:val="none"/>
              </w:rPr>
            </w:pPr>
            <w:r>
              <w:rPr>
                <w:rFonts w:hint="default" w:ascii="Calibri" w:hAnsi="Calibri" w:eastAsia="Calibri" w:cs="Calibri"/>
                <w:b/>
                <w:color w:val="auto"/>
                <w:kern w:val="2"/>
                <w:sz w:val="21"/>
                <w:szCs w:val="22"/>
                <w:highlight w:val="none"/>
              </w:rPr>
              <w:t>5000~10000</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万元）</w:t>
            </w:r>
          </w:p>
        </w:tc>
        <w:tc>
          <w:tcPr>
            <w:tcW w:w="167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10~29</w:t>
            </w: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人）</w:t>
            </w:r>
          </w:p>
        </w:tc>
        <w:tc>
          <w:tcPr>
            <w:tcW w:w="19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eastAsia="Calibri" w:cs="Calibri"/>
                <w:color w:val="auto"/>
                <w:kern w:val="2"/>
                <w:sz w:val="21"/>
                <w:szCs w:val="22"/>
                <w:highlight w:val="none"/>
              </w:rPr>
            </w:pPr>
            <w:r>
              <w:rPr>
                <w:rFonts w:hint="default" w:ascii="Calibri" w:hAnsi="Calibri" w:eastAsia="Calibri" w:cs="Calibri"/>
                <w:b/>
                <w:color w:val="auto"/>
                <w:kern w:val="2"/>
                <w:sz w:val="21"/>
                <w:szCs w:val="22"/>
                <w:highlight w:val="none"/>
              </w:rPr>
              <w:t>500~1000</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jc w:val="center"/>
        </w:trPr>
        <w:tc>
          <w:tcPr>
            <w:tcW w:w="1451"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中型</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lang w:eastAsia="zh-CN"/>
              </w:rPr>
              <w:t>（</w:t>
            </w:r>
            <w:r>
              <w:rPr>
                <w:rFonts w:hint="eastAsia" w:ascii="新宋体" w:hAnsi="新宋体" w:eastAsia="新宋体" w:cs="Calibri"/>
                <w:b/>
                <w:color w:val="auto"/>
                <w:kern w:val="2"/>
                <w:sz w:val="21"/>
                <w:szCs w:val="22"/>
                <w:highlight w:val="none"/>
              </w:rPr>
              <w:t>Ⅲ</w:t>
            </w:r>
            <w:r>
              <w:rPr>
                <w:rFonts w:hint="eastAsia" w:ascii="宋体" w:hAnsi="宋体" w:eastAsia="宋体" w:cs="Calibri"/>
                <w:b/>
                <w:color w:val="auto"/>
                <w:kern w:val="2"/>
                <w:sz w:val="21"/>
                <w:szCs w:val="22"/>
                <w:highlight w:val="none"/>
              </w:rPr>
              <w:t>级）</w:t>
            </w:r>
          </w:p>
        </w:tc>
        <w:tc>
          <w:tcPr>
            <w:tcW w:w="2031"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100~499</w:t>
            </w: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人）</w:t>
            </w:r>
          </w:p>
        </w:tc>
        <w:tc>
          <w:tcPr>
            <w:tcW w:w="19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eastAsia="Calibri" w:cs="Calibri"/>
                <w:color w:val="auto"/>
                <w:kern w:val="2"/>
                <w:sz w:val="21"/>
                <w:szCs w:val="22"/>
                <w:highlight w:val="none"/>
              </w:rPr>
            </w:pPr>
            <w:r>
              <w:rPr>
                <w:rFonts w:hint="default" w:ascii="Calibri" w:hAnsi="Calibri" w:eastAsia="Calibri" w:cs="Calibri"/>
                <w:b/>
                <w:color w:val="auto"/>
                <w:kern w:val="2"/>
                <w:sz w:val="21"/>
                <w:szCs w:val="22"/>
                <w:highlight w:val="none"/>
              </w:rPr>
              <w:t>500~5000</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万元）</w:t>
            </w:r>
          </w:p>
        </w:tc>
        <w:tc>
          <w:tcPr>
            <w:tcW w:w="167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3~9</w:t>
            </w: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人）</w:t>
            </w:r>
          </w:p>
        </w:tc>
        <w:tc>
          <w:tcPr>
            <w:tcW w:w="19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eastAsia="Calibri" w:cs="Calibri"/>
                <w:color w:val="auto"/>
                <w:kern w:val="2"/>
                <w:sz w:val="21"/>
                <w:szCs w:val="22"/>
                <w:highlight w:val="none"/>
              </w:rPr>
            </w:pPr>
            <w:r>
              <w:rPr>
                <w:rFonts w:hint="default" w:ascii="Calibri" w:hAnsi="Calibri" w:eastAsia="Calibri" w:cs="Calibri"/>
                <w:b/>
                <w:color w:val="auto"/>
                <w:kern w:val="2"/>
                <w:sz w:val="21"/>
                <w:szCs w:val="22"/>
                <w:highlight w:val="none"/>
              </w:rPr>
              <w:t>100~500</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1451"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小型</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lang w:eastAsia="zh-CN"/>
              </w:rPr>
              <w:t>（</w:t>
            </w:r>
            <w:r>
              <w:rPr>
                <w:rFonts w:hint="eastAsia" w:ascii="新宋体" w:hAnsi="新宋体" w:eastAsia="新宋体" w:cs="Calibri"/>
                <w:b/>
                <w:color w:val="auto"/>
                <w:kern w:val="2"/>
                <w:sz w:val="21"/>
                <w:szCs w:val="22"/>
                <w:highlight w:val="none"/>
              </w:rPr>
              <w:t>Ⅳ</w:t>
            </w:r>
            <w:r>
              <w:rPr>
                <w:rFonts w:hint="eastAsia" w:ascii="宋体" w:hAnsi="宋体" w:eastAsia="宋体" w:cs="Calibri"/>
                <w:b/>
                <w:color w:val="auto"/>
                <w:kern w:val="2"/>
                <w:sz w:val="21"/>
                <w:szCs w:val="22"/>
                <w:highlight w:val="none"/>
              </w:rPr>
              <w:t>级）</w:t>
            </w:r>
          </w:p>
        </w:tc>
        <w:tc>
          <w:tcPr>
            <w:tcW w:w="2031"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1~99</w:t>
            </w: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人）</w:t>
            </w:r>
          </w:p>
        </w:tc>
        <w:tc>
          <w:tcPr>
            <w:tcW w:w="19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 xml:space="preserve">500 </w:t>
            </w:r>
            <w:r>
              <w:rPr>
                <w:rFonts w:hint="eastAsia" w:ascii="宋体" w:hAnsi="宋体" w:eastAsia="宋体" w:cs="Calibri"/>
                <w:b/>
                <w:color w:val="auto"/>
                <w:kern w:val="2"/>
                <w:sz w:val="21"/>
                <w:szCs w:val="22"/>
                <w:highlight w:val="none"/>
              </w:rPr>
              <w:t>万元以下</w:t>
            </w:r>
          </w:p>
        </w:tc>
        <w:tc>
          <w:tcPr>
            <w:tcW w:w="167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1~2</w:t>
            </w: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人）</w:t>
            </w:r>
          </w:p>
        </w:tc>
        <w:tc>
          <w:tcPr>
            <w:tcW w:w="19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b/>
                <w:color w:val="auto"/>
                <w:kern w:val="2"/>
                <w:sz w:val="21"/>
                <w:szCs w:val="22"/>
                <w:highlight w:val="none"/>
              </w:rPr>
              <w:t xml:space="preserve">100 </w:t>
            </w:r>
            <w:r>
              <w:rPr>
                <w:rFonts w:hint="eastAsia" w:ascii="宋体" w:hAnsi="宋体" w:eastAsia="宋体" w:cs="Calibri"/>
                <w:b/>
                <w:color w:val="auto"/>
                <w:kern w:val="2"/>
                <w:sz w:val="21"/>
                <w:szCs w:val="22"/>
                <w:highlight w:val="none"/>
              </w:rPr>
              <w:t>万元以下</w:t>
            </w:r>
          </w:p>
        </w:tc>
      </w:tr>
    </w:tbl>
    <w:p>
      <w:pPr>
        <w:spacing w:line="360" w:lineRule="exact"/>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〔注：依据《国家突发地质灾害应急预案》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国办函[2005]年5月14日印发，2006年12月9日第一次修订）制表。〕</w:t>
      </w:r>
    </w:p>
    <w:p>
      <w:pPr>
        <w:bidi w:val="0"/>
        <w:ind w:firstLine="640" w:firstLineChars="200"/>
        <w:rPr>
          <w:rFonts w:hint="eastAsia" w:ascii="楷体_GB2312" w:hAnsi="楷体_GB2312" w:eastAsia="楷体_GB2312" w:cs="楷体_GB2312"/>
          <w:b w:val="0"/>
          <w:bCs/>
          <w:color w:val="auto"/>
          <w:sz w:val="32"/>
          <w:highlight w:val="none"/>
          <w:lang w:eastAsia="zh-CN"/>
        </w:rPr>
      </w:pPr>
      <w:r>
        <w:rPr>
          <w:rFonts w:hint="eastAsia" w:ascii="楷体_GB2312" w:hAnsi="楷体_GB2312" w:eastAsia="楷体_GB2312" w:cs="楷体_GB2312"/>
          <w:b w:val="0"/>
          <w:bCs/>
          <w:color w:val="auto"/>
          <w:sz w:val="32"/>
          <w:highlight w:val="none"/>
          <w:lang w:eastAsia="zh-CN"/>
        </w:rPr>
        <w:t>（三）水灾</w:t>
      </w:r>
    </w:p>
    <w:p>
      <w:pPr>
        <w:bidi w:val="0"/>
        <w:jc w:val="center"/>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国标</w:t>
      </w:r>
    </w:p>
    <w:tbl>
      <w:tblPr>
        <w:tblStyle w:val="10"/>
        <w:tblW w:w="94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5"/>
        <w:gridCol w:w="1605"/>
        <w:gridCol w:w="1830"/>
        <w:gridCol w:w="1630"/>
        <w:gridCol w:w="1775"/>
        <w:gridCol w:w="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exact"/>
          <w:jc w:val="center"/>
        </w:trPr>
        <w:tc>
          <w:tcPr>
            <w:tcW w:w="11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b/>
                <w:color w:val="auto"/>
                <w:kern w:val="2"/>
                <w:sz w:val="21"/>
                <w:szCs w:val="21"/>
                <w:highlight w:val="none"/>
              </w:rPr>
              <w:t>水 灾</w:t>
            </w:r>
          </w:p>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b/>
                <w:color w:val="auto"/>
                <w:kern w:val="2"/>
                <w:sz w:val="21"/>
                <w:szCs w:val="21"/>
                <w:highlight w:val="none"/>
                <w:lang w:eastAsia="zh-CN"/>
              </w:rPr>
              <w:t>（</w:t>
            </w:r>
            <w:r>
              <w:rPr>
                <w:rFonts w:hint="eastAsia" w:ascii="宋体" w:hAnsi="宋体" w:eastAsia="宋体" w:cs="Calibri"/>
                <w:b/>
                <w:color w:val="auto"/>
                <w:kern w:val="2"/>
                <w:sz w:val="21"/>
                <w:szCs w:val="21"/>
                <w:highlight w:val="none"/>
              </w:rPr>
              <w:t>国标）</w:t>
            </w:r>
          </w:p>
        </w:tc>
        <w:tc>
          <w:tcPr>
            <w:tcW w:w="1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b/>
                <w:color w:val="auto"/>
                <w:kern w:val="2"/>
                <w:sz w:val="21"/>
                <w:szCs w:val="21"/>
                <w:highlight w:val="none"/>
              </w:rPr>
              <w:t>流域</w:t>
            </w:r>
          </w:p>
        </w:tc>
        <w:tc>
          <w:tcPr>
            <w:tcW w:w="18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b/>
                <w:color w:val="auto"/>
                <w:kern w:val="2"/>
                <w:sz w:val="21"/>
                <w:szCs w:val="21"/>
                <w:highlight w:val="none"/>
              </w:rPr>
              <w:t>河段堤防</w:t>
            </w:r>
          </w:p>
        </w:tc>
        <w:tc>
          <w:tcPr>
            <w:tcW w:w="16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b/>
                <w:color w:val="auto"/>
                <w:kern w:val="2"/>
                <w:sz w:val="21"/>
                <w:szCs w:val="21"/>
                <w:highlight w:val="none"/>
              </w:rPr>
              <w:t>水库</w:t>
            </w:r>
          </w:p>
        </w:tc>
        <w:tc>
          <w:tcPr>
            <w:tcW w:w="17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b/>
                <w:color w:val="auto"/>
                <w:kern w:val="2"/>
                <w:sz w:val="21"/>
                <w:szCs w:val="21"/>
                <w:highlight w:val="none"/>
              </w:rPr>
              <w:t>渍涝影响</w:t>
            </w:r>
          </w:p>
        </w:tc>
        <w:tc>
          <w:tcPr>
            <w:tcW w:w="148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b/>
                <w:color w:val="auto"/>
                <w:kern w:val="2"/>
                <w:sz w:val="21"/>
                <w:szCs w:val="21"/>
                <w:highlight w:val="none"/>
              </w:rPr>
              <w:t>台风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4" w:hRule="exact"/>
          <w:jc w:val="center"/>
        </w:trPr>
        <w:tc>
          <w:tcPr>
            <w:tcW w:w="11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b/>
                <w:color w:val="auto"/>
                <w:kern w:val="2"/>
                <w:sz w:val="21"/>
                <w:szCs w:val="21"/>
                <w:highlight w:val="none"/>
              </w:rPr>
            </w:pPr>
            <w:r>
              <w:rPr>
                <w:rFonts w:hint="eastAsia" w:ascii="宋体" w:hAnsi="宋体" w:eastAsia="宋体" w:cs="Calibri"/>
                <w:b/>
                <w:color w:val="auto"/>
                <w:kern w:val="2"/>
                <w:sz w:val="21"/>
                <w:szCs w:val="21"/>
                <w:highlight w:val="none"/>
              </w:rPr>
              <w:t>特 大</w:t>
            </w:r>
          </w:p>
        </w:tc>
        <w:tc>
          <w:tcPr>
            <w:tcW w:w="1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某个流域发生特大洪水，或多个流域同时发生大洪水。</w:t>
            </w:r>
          </w:p>
        </w:tc>
        <w:tc>
          <w:tcPr>
            <w:tcW w:w="18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大江大河干流重要河段堤防发生决口。</w:t>
            </w:r>
          </w:p>
        </w:tc>
        <w:tc>
          <w:tcPr>
            <w:tcW w:w="16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重点大型水库发生垮坝。</w:t>
            </w:r>
          </w:p>
        </w:tc>
        <w:tc>
          <w:tcPr>
            <w:tcW w:w="17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洪水造成铁路繁忙干线、国家高速公路网和主要航道中断，48 小时无法恢复通行。</w:t>
            </w:r>
          </w:p>
        </w:tc>
        <w:tc>
          <w:tcPr>
            <w:tcW w:w="148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4" w:hRule="exact"/>
          <w:jc w:val="center"/>
        </w:trPr>
        <w:tc>
          <w:tcPr>
            <w:tcW w:w="11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b/>
                <w:color w:val="auto"/>
                <w:kern w:val="2"/>
                <w:sz w:val="21"/>
                <w:szCs w:val="21"/>
                <w:highlight w:val="none"/>
              </w:rPr>
            </w:pPr>
            <w:r>
              <w:rPr>
                <w:rFonts w:hint="eastAsia" w:ascii="宋体" w:hAnsi="宋体" w:eastAsia="宋体" w:cs="Calibri"/>
                <w:b/>
                <w:color w:val="auto"/>
                <w:kern w:val="2"/>
                <w:sz w:val="21"/>
                <w:szCs w:val="21"/>
                <w:highlight w:val="none"/>
              </w:rPr>
              <w:t>重 大</w:t>
            </w:r>
          </w:p>
        </w:tc>
        <w:tc>
          <w:tcPr>
            <w:tcW w:w="1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一个流域或其部分区域发生大洪水。</w:t>
            </w:r>
          </w:p>
        </w:tc>
        <w:tc>
          <w:tcPr>
            <w:tcW w:w="18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大江大河干流一般河段及主要支流堤防发生决口或出现重大险情。</w:t>
            </w:r>
          </w:p>
        </w:tc>
        <w:tc>
          <w:tcPr>
            <w:tcW w:w="16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一般大中型水库发生垮坝或出现对下游安全造成直接影响的重大险情。</w:t>
            </w:r>
          </w:p>
        </w:tc>
        <w:tc>
          <w:tcPr>
            <w:tcW w:w="17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洪水造成铁路繁忙干线、国家高速公路网和主要巷道中断，24 小时无法恢复通行。</w:t>
            </w:r>
          </w:p>
        </w:tc>
        <w:tc>
          <w:tcPr>
            <w:tcW w:w="148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超强台风</w:t>
            </w:r>
          </w:p>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登陆并严</w:t>
            </w:r>
          </w:p>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重影响我</w:t>
            </w:r>
          </w:p>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3" w:hRule="exact"/>
          <w:jc w:val="center"/>
        </w:trPr>
        <w:tc>
          <w:tcPr>
            <w:tcW w:w="11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b/>
                <w:color w:val="auto"/>
                <w:kern w:val="2"/>
                <w:sz w:val="21"/>
                <w:szCs w:val="21"/>
                <w:highlight w:val="none"/>
              </w:rPr>
            </w:pPr>
            <w:r>
              <w:rPr>
                <w:rFonts w:hint="eastAsia" w:ascii="宋体" w:hAnsi="宋体" w:eastAsia="宋体" w:cs="Calibri"/>
                <w:b/>
                <w:color w:val="auto"/>
                <w:kern w:val="2"/>
                <w:sz w:val="21"/>
                <w:szCs w:val="21"/>
                <w:highlight w:val="none"/>
              </w:rPr>
              <w:t>较 大</w:t>
            </w:r>
          </w:p>
        </w:tc>
        <w:tc>
          <w:tcPr>
            <w:tcW w:w="1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一省</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区、市）发生较大洪水。</w:t>
            </w:r>
          </w:p>
        </w:tc>
        <w:tc>
          <w:tcPr>
            <w:tcW w:w="18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大江大河干流堤防出现重大险</w:t>
            </w:r>
            <w:r>
              <w:rPr>
                <w:rFonts w:hint="eastAsia" w:ascii="宋体" w:hAnsi="宋体" w:eastAsia="宋体" w:cs="Calibri"/>
                <w:color w:val="auto"/>
                <w:kern w:val="2"/>
                <w:sz w:val="21"/>
                <w:szCs w:val="21"/>
                <w:highlight w:val="none"/>
                <w:lang w:eastAsia="zh-CN"/>
              </w:rPr>
              <w:t>情</w:t>
            </w:r>
            <w:r>
              <w:rPr>
                <w:rFonts w:hint="eastAsia" w:ascii="宋体" w:hAnsi="宋体" w:eastAsia="宋体" w:cs="Calibri"/>
                <w:color w:val="auto"/>
                <w:kern w:val="2"/>
                <w:sz w:val="21"/>
                <w:szCs w:val="21"/>
                <w:highlight w:val="none"/>
              </w:rPr>
              <w:t>。</w:t>
            </w:r>
          </w:p>
        </w:tc>
        <w:tc>
          <w:tcPr>
            <w:tcW w:w="16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大中型水库 出现严重险情或小型水库发生垮坝。</w:t>
            </w:r>
          </w:p>
        </w:tc>
        <w:tc>
          <w:tcPr>
            <w:tcW w:w="17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w:t>
            </w:r>
          </w:p>
        </w:tc>
        <w:tc>
          <w:tcPr>
            <w:tcW w:w="148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强台风登陆并严重影响我国。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6" w:hRule="exact"/>
          <w:jc w:val="center"/>
        </w:trPr>
        <w:tc>
          <w:tcPr>
            <w:tcW w:w="11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b/>
                <w:color w:val="auto"/>
                <w:kern w:val="2"/>
                <w:sz w:val="21"/>
                <w:szCs w:val="21"/>
                <w:highlight w:val="none"/>
              </w:rPr>
            </w:pPr>
            <w:r>
              <w:rPr>
                <w:rFonts w:hint="eastAsia" w:ascii="宋体" w:hAnsi="宋体" w:eastAsia="宋体" w:cs="Calibri"/>
                <w:b/>
                <w:color w:val="auto"/>
                <w:kern w:val="2"/>
                <w:sz w:val="21"/>
                <w:szCs w:val="21"/>
                <w:highlight w:val="none"/>
              </w:rPr>
              <w:t>一 般</w:t>
            </w:r>
          </w:p>
        </w:tc>
        <w:tc>
          <w:tcPr>
            <w:tcW w:w="1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数省</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区市</w:t>
            </w:r>
            <w:r>
              <w:rPr>
                <w:rFonts w:hint="eastAsia" w:ascii="宋体" w:hAnsi="宋体" w:eastAsia="宋体" w:cs="Calibri"/>
                <w:color w:val="auto"/>
                <w:kern w:val="2"/>
                <w:sz w:val="21"/>
                <w:szCs w:val="21"/>
                <w:highlight w:val="none"/>
                <w:lang w:eastAsia="zh-CN"/>
              </w:rPr>
              <w:t>县</w:t>
            </w:r>
            <w:r>
              <w:rPr>
                <w:rFonts w:hint="eastAsia" w:ascii="宋体" w:hAnsi="宋体" w:eastAsia="宋体" w:cs="Calibri"/>
                <w:color w:val="auto"/>
                <w:kern w:val="2"/>
                <w:sz w:val="21"/>
                <w:szCs w:val="21"/>
                <w:highlight w:val="none"/>
              </w:rPr>
              <w:t>）同时发生一般 洪水。</w:t>
            </w:r>
          </w:p>
        </w:tc>
        <w:tc>
          <w:tcPr>
            <w:tcW w:w="18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大江大河干流堤防出现险情。</w:t>
            </w:r>
          </w:p>
        </w:tc>
        <w:tc>
          <w:tcPr>
            <w:tcW w:w="16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大型水库出现险情。</w:t>
            </w:r>
          </w:p>
        </w:tc>
        <w:tc>
          <w:tcPr>
            <w:tcW w:w="17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w:t>
            </w:r>
          </w:p>
        </w:tc>
        <w:tc>
          <w:tcPr>
            <w:tcW w:w="148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热带风暴、强热带风暴、台风登陆并影响我国。</w:t>
            </w:r>
          </w:p>
        </w:tc>
      </w:tr>
    </w:tbl>
    <w:p>
      <w:pPr>
        <w:pStyle w:val="4"/>
        <w:kinsoku w:val="0"/>
        <w:overflowPunct w:val="0"/>
        <w:spacing w:before="163" w:line="360" w:lineRule="exact"/>
        <w:ind w:left="0" w:right="204" w:firstLine="480" w:firstLineChars="200"/>
        <w:jc w:val="both"/>
        <w:outlineLvl w:val="9"/>
        <w:rPr>
          <w:rFonts w:hint="eastAsia" w:ascii="宋体" w:hAnsi="宋体" w:eastAsia="宋体"/>
          <w:color w:val="auto"/>
          <w:sz w:val="24"/>
          <w:highlight w:val="none"/>
        </w:rPr>
      </w:pPr>
      <w:r>
        <w:rPr>
          <w:rFonts w:hint="eastAsia" w:ascii="宋体" w:hAnsi="宋体" w:eastAsia="宋体"/>
          <w:color w:val="auto"/>
          <w:sz w:val="24"/>
          <w:highlight w:val="none"/>
        </w:rPr>
        <w:t>〔注：依据《国家突发公共事件总体应急预案》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国发</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2005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11号）《国家防汛抗旱应急预案》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国办函[2005]35号2005年5月14日印发，2006年12月9日第1次修订）制表。〕</w:t>
      </w:r>
    </w:p>
    <w:p>
      <w:pPr>
        <w:pStyle w:val="4"/>
        <w:kinsoku w:val="0"/>
        <w:overflowPunct w:val="0"/>
        <w:spacing w:before="163" w:line="305" w:lineRule="auto"/>
        <w:ind w:left="0" w:leftChars="0" w:right="205" w:firstLine="0" w:firstLineChars="0"/>
        <w:jc w:val="center"/>
        <w:outlineLvl w:val="9"/>
        <w:rPr>
          <w:rFonts w:hint="eastAsia"/>
          <w:b/>
          <w:color w:val="auto"/>
          <w:sz w:val="16"/>
          <w:highlight w:val="none"/>
        </w:rPr>
      </w:pPr>
      <w:r>
        <w:rPr>
          <w:rFonts w:hint="eastAsia" w:ascii="宋体" w:hAnsi="宋体" w:eastAsia="宋体"/>
          <w:b/>
          <w:color w:val="auto"/>
          <w:sz w:val="32"/>
          <w:highlight w:val="none"/>
        </w:rPr>
        <w:t>省标</w:t>
      </w:r>
    </w:p>
    <w:tbl>
      <w:tblPr>
        <w:tblStyle w:val="10"/>
        <w:tblW w:w="10110"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80"/>
        <w:gridCol w:w="1980"/>
        <w:gridCol w:w="1960"/>
        <w:gridCol w:w="1220"/>
        <w:gridCol w:w="1410"/>
        <w:gridCol w:w="1550"/>
        <w:gridCol w:w="11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080" w:hRule="exact"/>
          <w:jc w:val="center"/>
        </w:trPr>
        <w:tc>
          <w:tcPr>
            <w:tcW w:w="88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1"/>
                <w:szCs w:val="20"/>
                <w:highlight w:val="none"/>
              </w:rPr>
            </w:pPr>
            <w:r>
              <w:rPr>
                <w:rFonts w:hint="eastAsia" w:ascii="宋体" w:hAnsi="宋体" w:eastAsia="宋体" w:cs="Calibri"/>
                <w:b/>
                <w:color w:val="auto"/>
                <w:kern w:val="2"/>
                <w:sz w:val="21"/>
                <w:szCs w:val="20"/>
                <w:highlight w:val="none"/>
              </w:rPr>
              <w:t>水灾</w:t>
            </w:r>
          </w:p>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18"/>
                <w:szCs w:val="20"/>
                <w:highlight w:val="none"/>
                <w:lang w:eastAsia="zh-CN"/>
              </w:rPr>
              <w:t>（</w:t>
            </w:r>
            <w:r>
              <w:rPr>
                <w:rFonts w:hint="eastAsia" w:ascii="宋体" w:hAnsi="宋体" w:eastAsia="宋体" w:cs="Calibri"/>
                <w:b/>
                <w:color w:val="auto"/>
                <w:kern w:val="2"/>
                <w:sz w:val="18"/>
                <w:szCs w:val="20"/>
                <w:highlight w:val="none"/>
              </w:rPr>
              <w:t>省标）</w:t>
            </w:r>
          </w:p>
        </w:tc>
        <w:tc>
          <w:tcPr>
            <w:tcW w:w="198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4"/>
                <w:szCs w:val="22"/>
                <w:highlight w:val="none"/>
              </w:rPr>
              <w:t>流域</w:t>
            </w:r>
          </w:p>
        </w:tc>
        <w:tc>
          <w:tcPr>
            <w:tcW w:w="196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4"/>
                <w:szCs w:val="22"/>
                <w:highlight w:val="none"/>
              </w:rPr>
              <w:t>河段堤防</w:t>
            </w:r>
          </w:p>
        </w:tc>
        <w:tc>
          <w:tcPr>
            <w:tcW w:w="122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4"/>
                <w:szCs w:val="22"/>
                <w:highlight w:val="none"/>
              </w:rPr>
              <w:t>水库</w:t>
            </w:r>
          </w:p>
        </w:tc>
        <w:tc>
          <w:tcPr>
            <w:tcW w:w="14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4"/>
                <w:szCs w:val="22"/>
                <w:highlight w:val="none"/>
              </w:rPr>
              <w:t>风暴潮</w:t>
            </w:r>
          </w:p>
        </w:tc>
        <w:tc>
          <w:tcPr>
            <w:tcW w:w="155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4"/>
                <w:szCs w:val="22"/>
                <w:highlight w:val="none"/>
              </w:rPr>
              <w:t>台风</w:t>
            </w:r>
          </w:p>
        </w:tc>
        <w:tc>
          <w:tcPr>
            <w:tcW w:w="11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4"/>
                <w:szCs w:val="22"/>
                <w:highlight w:val="none"/>
              </w:rPr>
              <w:t>暴雨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964" w:hRule="exact"/>
          <w:jc w:val="center"/>
        </w:trPr>
        <w:tc>
          <w:tcPr>
            <w:tcW w:w="88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1"/>
                <w:szCs w:val="22"/>
                <w:highlight w:val="none"/>
              </w:rPr>
              <w:t>一级 响应</w:t>
            </w:r>
          </w:p>
        </w:tc>
        <w:tc>
          <w:tcPr>
            <w:tcW w:w="198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多个市县同时发 生50年一遇或以上洪水；某个市县发生100年一遇或以上洪水。</w:t>
            </w:r>
          </w:p>
        </w:tc>
        <w:tc>
          <w:tcPr>
            <w:tcW w:w="196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南渡江、昌化江、万泉河任一流域发生100年一遇或以上特大洪水或南渡江下游河段堤防发生决口</w:t>
            </w:r>
          </w:p>
        </w:tc>
        <w:tc>
          <w:tcPr>
            <w:tcW w:w="122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大、中型水库已发生垮坝。</w:t>
            </w:r>
          </w:p>
        </w:tc>
        <w:tc>
          <w:tcPr>
            <w:tcW w:w="14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海南省主要潮位站出现100年一遇及以上风暴潮。</w:t>
            </w:r>
          </w:p>
        </w:tc>
        <w:tc>
          <w:tcPr>
            <w:tcW w:w="155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both"/>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台风及以上热带气旋将于48小时内登陆或严重影响海南岛本岛。</w:t>
            </w:r>
          </w:p>
        </w:tc>
        <w:tc>
          <w:tcPr>
            <w:tcW w:w="11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438" w:hRule="exact"/>
          <w:jc w:val="center"/>
        </w:trPr>
        <w:tc>
          <w:tcPr>
            <w:tcW w:w="88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1"/>
                <w:szCs w:val="22"/>
                <w:highlight w:val="none"/>
              </w:rPr>
              <w:t>二级 响应</w:t>
            </w:r>
          </w:p>
        </w:tc>
        <w:tc>
          <w:tcPr>
            <w:tcW w:w="198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多个市县同时发 生20年一遇至50年一遇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不含）洪水；某个市县发生50年至100年一遇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不含）洪水。</w:t>
            </w:r>
          </w:p>
        </w:tc>
        <w:tc>
          <w:tcPr>
            <w:tcW w:w="196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南渡江、昌化江、万泉河任一流域发生50年至100年一遇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不含）洪 水或其主干堤防</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不含南渡江下游）发生决口。</w:t>
            </w:r>
          </w:p>
        </w:tc>
        <w:tc>
          <w:tcPr>
            <w:tcW w:w="122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大中型水库出现重大险情有可能发生垮坝。</w:t>
            </w:r>
          </w:p>
        </w:tc>
        <w:tc>
          <w:tcPr>
            <w:tcW w:w="14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海南省主要潮位站出现50年至100 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不含）风暴潮。</w:t>
            </w:r>
          </w:p>
        </w:tc>
        <w:tc>
          <w:tcPr>
            <w:tcW w:w="155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强热带风暴将于48小时内登陆或严重影响海南岛本岛。</w:t>
            </w:r>
          </w:p>
        </w:tc>
        <w:tc>
          <w:tcPr>
            <w:tcW w:w="11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284" w:hRule="exact"/>
          <w:jc w:val="center"/>
        </w:trPr>
        <w:tc>
          <w:tcPr>
            <w:tcW w:w="88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b/>
                <w:color w:val="auto"/>
                <w:kern w:val="2"/>
                <w:sz w:val="22"/>
                <w:szCs w:val="22"/>
                <w:highlight w:val="none"/>
              </w:rPr>
            </w:pPr>
          </w:p>
          <w:p>
            <w:pPr>
              <w:pStyle w:val="12"/>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1"/>
                <w:szCs w:val="22"/>
                <w:highlight w:val="none"/>
              </w:rPr>
              <w:t>三级 响应</w:t>
            </w:r>
          </w:p>
        </w:tc>
        <w:tc>
          <w:tcPr>
            <w:tcW w:w="198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多个市县同时发生10年一遇至20年一遇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不含）洪水；某个市县发生20年至50年一遇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不含）洪水。</w:t>
            </w:r>
          </w:p>
        </w:tc>
        <w:tc>
          <w:tcPr>
            <w:tcW w:w="196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南渡江、昌化江、万泉河等任一主干河流堤防出现重大险情。</w:t>
            </w:r>
          </w:p>
        </w:tc>
        <w:tc>
          <w:tcPr>
            <w:tcW w:w="122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大中型水库出现重大险情或小型水库发生 垮坝。</w:t>
            </w:r>
          </w:p>
        </w:tc>
        <w:tc>
          <w:tcPr>
            <w:tcW w:w="14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海南省主要潮位站出现20年至50年一遇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不含）风暴潮。</w:t>
            </w:r>
          </w:p>
        </w:tc>
        <w:tc>
          <w:tcPr>
            <w:tcW w:w="155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热带风暴将于48小时内登陆或严重影响海南岛本岛。</w:t>
            </w:r>
          </w:p>
        </w:tc>
        <w:tc>
          <w:tcPr>
            <w:tcW w:w="11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省气象局发布暴雨一级预警。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239" w:hRule="exact"/>
          <w:jc w:val="center"/>
        </w:trPr>
        <w:tc>
          <w:tcPr>
            <w:tcW w:w="88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b/>
                <w:color w:val="auto"/>
                <w:kern w:val="2"/>
                <w:sz w:val="28"/>
                <w:szCs w:val="22"/>
                <w:highlight w:val="none"/>
                <w:lang w:val="en-US" w:eastAsia="zh-CN"/>
              </w:rPr>
            </w:pPr>
            <w:r>
              <w:rPr>
                <w:rFonts w:hint="eastAsia" w:ascii="宋体" w:hAnsi="宋体" w:eastAsia="宋体" w:cs="Calibri"/>
                <w:b/>
                <w:color w:val="auto"/>
                <w:kern w:val="2"/>
                <w:sz w:val="28"/>
                <w:szCs w:val="22"/>
                <w:highlight w:val="none"/>
                <w:lang w:val="en-US" w:eastAsia="zh-CN"/>
              </w:rPr>
              <w:t xml:space="preserve">   </w:t>
            </w:r>
          </w:p>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b/>
                <w:color w:val="auto"/>
                <w:kern w:val="2"/>
                <w:sz w:val="28"/>
                <w:szCs w:val="22"/>
                <w:highlight w:val="none"/>
                <w:lang w:val="en-US" w:eastAsia="zh-CN"/>
              </w:rPr>
            </w:pPr>
          </w:p>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lang w:val="en-US" w:eastAsia="zh-CN"/>
              </w:rPr>
            </w:pPr>
            <w:r>
              <w:rPr>
                <w:rFonts w:hint="eastAsia" w:ascii="宋体" w:hAnsi="宋体" w:eastAsia="宋体" w:cs="Calibri"/>
                <w:b/>
                <w:color w:val="auto"/>
                <w:kern w:val="2"/>
                <w:sz w:val="21"/>
                <w:szCs w:val="22"/>
                <w:highlight w:val="none"/>
                <w:lang w:val="en-US" w:eastAsia="zh-CN"/>
              </w:rPr>
              <w:t>四级响应</w:t>
            </w:r>
          </w:p>
        </w:tc>
        <w:tc>
          <w:tcPr>
            <w:tcW w:w="198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多个市县主要河流同时发生</w:t>
            </w:r>
            <w:r>
              <w:rPr>
                <w:rFonts w:hint="eastAsia" w:ascii="宋体" w:hAnsi="宋体" w:eastAsia="宋体" w:cs="Calibri"/>
                <w:color w:val="auto"/>
                <w:kern w:val="2"/>
                <w:sz w:val="21"/>
                <w:szCs w:val="22"/>
                <w:highlight w:val="none"/>
                <w:lang w:val="en-US" w:eastAsia="zh-CN"/>
              </w:rPr>
              <w:t>5</w:t>
            </w:r>
            <w:r>
              <w:rPr>
                <w:rFonts w:hint="eastAsia" w:ascii="宋体" w:hAnsi="宋体" w:eastAsia="宋体" w:cs="Calibri"/>
                <w:color w:val="auto"/>
                <w:kern w:val="2"/>
                <w:sz w:val="21"/>
                <w:szCs w:val="22"/>
                <w:highlight w:val="none"/>
              </w:rPr>
              <w:t>年至10 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不含）洪水；某个市县主要河流发生</w:t>
            </w:r>
            <w:r>
              <w:rPr>
                <w:rFonts w:hint="eastAsia" w:ascii="宋体" w:hAnsi="宋体" w:eastAsia="宋体" w:cs="Calibri"/>
                <w:color w:val="auto"/>
                <w:kern w:val="2"/>
                <w:sz w:val="21"/>
                <w:szCs w:val="22"/>
                <w:highlight w:val="none"/>
                <w:lang w:val="en-US" w:eastAsia="zh-CN"/>
              </w:rPr>
              <w:t>10</w:t>
            </w:r>
            <w:r>
              <w:rPr>
                <w:rFonts w:hint="eastAsia" w:ascii="宋体" w:hAnsi="宋体" w:eastAsia="宋体" w:cs="Calibri"/>
                <w:color w:val="auto"/>
                <w:kern w:val="2"/>
                <w:sz w:val="21"/>
                <w:szCs w:val="22"/>
                <w:highlight w:val="none"/>
              </w:rPr>
              <w:t>年至20年一遇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不含洪水</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w:t>
            </w:r>
          </w:p>
        </w:tc>
        <w:tc>
          <w:tcPr>
            <w:tcW w:w="196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南渡江、昌化江、万泉河等任一主干河流堤防出现险情。</w:t>
            </w:r>
          </w:p>
        </w:tc>
        <w:tc>
          <w:tcPr>
            <w:tcW w:w="122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大、中型水库出现一般险情，或小型水库出现重大险情。</w:t>
            </w:r>
          </w:p>
        </w:tc>
        <w:tc>
          <w:tcPr>
            <w:tcW w:w="141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省主要潮位站出现10年至20年一遇</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不含）风暴潮。</w:t>
            </w:r>
          </w:p>
        </w:tc>
        <w:tc>
          <w:tcPr>
            <w:tcW w:w="155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热带气压将于48小时登陆并影响本岛。</w:t>
            </w:r>
          </w:p>
        </w:tc>
        <w:tc>
          <w:tcPr>
            <w:tcW w:w="111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leftChars="0" w:right="0" w:firstLine="0" w:firstLineChars="0"/>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1"/>
                <w:szCs w:val="22"/>
                <w:highlight w:val="none"/>
              </w:rPr>
              <w:t>省气象局发布暴雨二级预警。</w:t>
            </w:r>
          </w:p>
        </w:tc>
      </w:tr>
    </w:tbl>
    <w:p>
      <w:pPr>
        <w:pStyle w:val="4"/>
        <w:widowControl w:val="0"/>
        <w:kinsoku w:val="0"/>
        <w:wordWrap/>
        <w:overflowPunct w:val="0"/>
        <w:adjustRightInd/>
        <w:snapToGrid/>
        <w:spacing w:before="0" w:line="560" w:lineRule="exact"/>
        <w:ind w:left="0" w:leftChars="0" w:firstLine="0" w:firstLineChars="0"/>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〔注：依据《海南省防汛防风抗旱应急预案》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琼府办</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lang w:val="en-US" w:eastAsia="zh-CN"/>
        </w:rPr>
        <w:t>2019</w:t>
      </w:r>
      <w:r>
        <w:rPr>
          <w:rFonts w:hint="eastAsia" w:ascii="仿宋_GB2312" w:hAnsi="仿宋_GB2312" w:eastAsia="仿宋_GB2312" w:cs="仿宋_GB2312"/>
          <w:color w:val="auto"/>
          <w:sz w:val="24"/>
          <w:highlight w:val="none"/>
        </w:rPr>
        <w:t>〕</w:t>
      </w:r>
      <w:r>
        <w:rPr>
          <w:rFonts w:hint="eastAsia" w:cs="仿宋_GB2312"/>
          <w:color w:val="auto"/>
          <w:sz w:val="24"/>
          <w:highlight w:val="none"/>
          <w:lang w:val="en-US" w:eastAsia="zh-CN"/>
        </w:rPr>
        <w:t>19</w:t>
      </w:r>
      <w:r>
        <w:rPr>
          <w:rFonts w:hint="eastAsia" w:ascii="宋体" w:hAnsi="宋体" w:eastAsia="宋体"/>
          <w:color w:val="auto"/>
          <w:sz w:val="24"/>
          <w:highlight w:val="none"/>
        </w:rPr>
        <w:t>号）制表。〕</w:t>
      </w:r>
    </w:p>
    <w:p>
      <w:pPr>
        <w:pStyle w:val="4"/>
        <w:widowControl w:val="0"/>
        <w:kinsoku w:val="0"/>
        <w:wordWrap/>
        <w:overflowPunct w:val="0"/>
        <w:adjustRightInd/>
        <w:snapToGrid/>
        <w:spacing w:before="0" w:line="560" w:lineRule="exact"/>
        <w:ind w:left="0" w:leftChars="0" w:firstLine="640" w:firstLineChars="200"/>
        <w:textAlignment w:val="auto"/>
        <w:outlineLvl w:val="9"/>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（四）旱灾</w:t>
      </w:r>
    </w:p>
    <w:p>
      <w:pPr>
        <w:widowControl w:val="0"/>
        <w:numPr>
          <w:ilvl w:val="0"/>
          <w:numId w:val="0"/>
        </w:numPr>
        <w:kinsoku w:val="0"/>
        <w:wordWrap/>
        <w:overflowPunct w:val="0"/>
        <w:adjustRightInd/>
        <w:snapToGrid/>
        <w:spacing w:line="560" w:lineRule="exact"/>
        <w:ind w:left="0"/>
        <w:jc w:val="center"/>
        <w:textAlignment w:val="auto"/>
        <w:outlineLvl w:val="9"/>
        <w:rPr>
          <w:rFonts w:hint="eastAsia" w:ascii="仿宋_GB2312" w:hAnsi="仿宋_GB2312" w:eastAsia="仿宋_GB2312" w:cs="仿宋_GB2312"/>
          <w:b/>
          <w:bCs/>
          <w:color w:val="auto"/>
          <w:sz w:val="32"/>
          <w:highlight w:val="none"/>
          <w:lang w:eastAsia="zh-CN"/>
        </w:rPr>
      </w:pPr>
      <w:r>
        <w:rPr>
          <w:rFonts w:hint="eastAsia" w:ascii="仿宋_GB2312" w:hAnsi="仿宋_GB2312" w:eastAsia="仿宋_GB2312" w:cs="仿宋_GB2312"/>
          <w:b/>
          <w:bCs/>
          <w:color w:val="auto"/>
          <w:sz w:val="32"/>
          <w:highlight w:val="none"/>
        </w:rPr>
        <w:t>国标</w:t>
      </w:r>
    </w:p>
    <w:tbl>
      <w:tblPr>
        <w:tblStyle w:val="10"/>
        <w:tblW w:w="94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3"/>
        <w:gridCol w:w="2152"/>
        <w:gridCol w:w="2527"/>
        <w:gridCol w:w="3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1"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1"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旱灾</w:t>
            </w:r>
          </w:p>
        </w:tc>
        <w:tc>
          <w:tcPr>
            <w:tcW w:w="2152" w:type="dxa"/>
            <w:tcBorders>
              <w:top w:val="single" w:color="000000" w:sz="4" w:space="0"/>
              <w:left w:val="single" w:color="000000" w:sz="4" w:space="0"/>
              <w:bottom w:val="nil"/>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受旱区作物受</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旱面积占播种</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面积比例</w:t>
            </w:r>
          </w:p>
        </w:tc>
        <w:tc>
          <w:tcPr>
            <w:tcW w:w="2527" w:type="dxa"/>
            <w:tcBorders>
              <w:top w:val="single" w:color="000000" w:sz="4" w:space="0"/>
              <w:left w:val="single" w:color="000000" w:sz="4" w:space="0"/>
              <w:bottom w:val="nil"/>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因旱农</w:t>
            </w: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牧）区临</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时性饮水困难人口</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占地区人口比例</w:t>
            </w:r>
          </w:p>
        </w:tc>
        <w:tc>
          <w:tcPr>
            <w:tcW w:w="30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城市干旱：因旱城市出</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现缺水现象，供水量低</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于正常需求量比例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特大干旱</w:t>
            </w:r>
          </w:p>
        </w:tc>
        <w:tc>
          <w:tcPr>
            <w:tcW w:w="21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＞80%</w:t>
            </w:r>
          </w:p>
        </w:tc>
        <w:tc>
          <w:tcPr>
            <w:tcW w:w="25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＞60%</w:t>
            </w:r>
          </w:p>
        </w:tc>
        <w:tc>
          <w:tcPr>
            <w:tcW w:w="30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严重干旱</w:t>
            </w:r>
          </w:p>
        </w:tc>
        <w:tc>
          <w:tcPr>
            <w:tcW w:w="21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583" w:right="0" w:firstLine="0" w:firstLineChars="0"/>
              <w:jc w:val="both"/>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51%-80%</w:t>
            </w:r>
          </w:p>
        </w:tc>
        <w:tc>
          <w:tcPr>
            <w:tcW w:w="25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770" w:right="0" w:firstLine="0" w:firstLineChars="0"/>
              <w:jc w:val="both"/>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41%-60%</w:t>
            </w:r>
          </w:p>
        </w:tc>
        <w:tc>
          <w:tcPr>
            <w:tcW w:w="30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中度干旱</w:t>
            </w:r>
          </w:p>
        </w:tc>
        <w:tc>
          <w:tcPr>
            <w:tcW w:w="21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583" w:right="0" w:firstLine="0" w:firstLineChars="0"/>
              <w:jc w:val="both"/>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31%-50%</w:t>
            </w:r>
          </w:p>
        </w:tc>
        <w:tc>
          <w:tcPr>
            <w:tcW w:w="25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770" w:right="0" w:firstLine="0" w:firstLineChars="0"/>
              <w:jc w:val="both"/>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21%-40%</w:t>
            </w:r>
          </w:p>
        </w:tc>
        <w:tc>
          <w:tcPr>
            <w:tcW w:w="30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exact"/>
          <w:jc w:val="center"/>
        </w:trPr>
        <w:tc>
          <w:tcPr>
            <w:tcW w:w="17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轻度干旱</w:t>
            </w:r>
          </w:p>
        </w:tc>
        <w:tc>
          <w:tcPr>
            <w:tcW w:w="21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≤30%</w:t>
            </w:r>
          </w:p>
        </w:tc>
        <w:tc>
          <w:tcPr>
            <w:tcW w:w="25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≤20%</w:t>
            </w:r>
          </w:p>
        </w:tc>
        <w:tc>
          <w:tcPr>
            <w:tcW w:w="30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4"/>
                <w:szCs w:val="22"/>
                <w:highlight w:val="none"/>
              </w:rPr>
              <w:t>5%-10%</w:t>
            </w:r>
          </w:p>
        </w:tc>
      </w:tr>
    </w:tbl>
    <w:p>
      <w:pPr>
        <w:bidi w:val="0"/>
        <w:spacing w:line="320" w:lineRule="exact"/>
        <w:ind w:firstLine="240" w:firstLineChars="100"/>
        <w:rPr>
          <w:rFonts w:hint="eastAsia" w:ascii="宋体" w:hAnsi="宋体" w:eastAsia="宋体"/>
          <w:color w:val="auto"/>
          <w:sz w:val="24"/>
          <w:highlight w:val="none"/>
        </w:rPr>
      </w:pPr>
      <w:r>
        <w:rPr>
          <w:rFonts w:hint="eastAsia" w:ascii="宋体" w:hAnsi="宋体" w:eastAsia="宋体"/>
          <w:color w:val="auto"/>
          <w:sz w:val="24"/>
          <w:highlight w:val="none"/>
        </w:rPr>
        <w:t>〔注：依据《国家防汛抗旱应急预案》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2005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35号2005 年5月14日印发，2006年 12月9日第1次修订）制表。〕</w:t>
      </w:r>
    </w:p>
    <w:p>
      <w:pPr>
        <w:pStyle w:val="4"/>
        <w:widowControl w:val="0"/>
        <w:kinsoku w:val="0"/>
        <w:wordWrap/>
        <w:overflowPunct w:val="0"/>
        <w:adjustRightInd/>
        <w:snapToGrid/>
        <w:spacing w:before="0" w:line="560" w:lineRule="exact"/>
        <w:ind w:left="0" w:right="510" w:firstLine="321" w:firstLineChars="100"/>
        <w:jc w:val="center"/>
        <w:textAlignment w:val="auto"/>
        <w:outlineLvl w:val="9"/>
        <w:rPr>
          <w:rFonts w:hint="eastAsia"/>
          <w:b/>
          <w:color w:val="auto"/>
          <w:sz w:val="22"/>
          <w:highlight w:val="none"/>
        </w:rPr>
      </w:pPr>
      <w:r>
        <w:rPr>
          <w:rFonts w:hint="eastAsia" w:ascii="宋体" w:hAnsi="宋体" w:eastAsia="宋体"/>
          <w:b/>
          <w:color w:val="auto"/>
          <w:sz w:val="32"/>
          <w:highlight w:val="none"/>
        </w:rPr>
        <w:t>海南省干旱指标及等级划分</w:t>
      </w:r>
    </w:p>
    <w:tbl>
      <w:tblPr>
        <w:tblStyle w:val="10"/>
        <w:tblW w:w="9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830"/>
        <w:gridCol w:w="1234"/>
        <w:gridCol w:w="1557"/>
        <w:gridCol w:w="15"/>
        <w:gridCol w:w="1557"/>
        <w:gridCol w:w="15"/>
        <w:gridCol w:w="133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4010" w:type="dxa"/>
            <w:gridSpan w:val="3"/>
            <w:tcBorders>
              <w:tl2br w:val="nil"/>
              <w:tr2bl w:val="nil"/>
            </w:tcBorders>
            <w:noWrap w:val="0"/>
            <w:vAlign w:val="center"/>
          </w:tcPr>
          <w:p>
            <w:pPr>
              <w:pStyle w:val="12"/>
              <w:widowControl w:val="0"/>
              <w:tabs>
                <w:tab w:val="left" w:pos="1575"/>
                <w:tab w:val="left" w:pos="2137"/>
                <w:tab w:val="left" w:pos="2699"/>
              </w:tabs>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Microsoft JhengHei" w:hAnsi="Microsoft JhengHei" w:eastAsia="Microsoft JhengHei" w:cs="Calibri"/>
                <w:b/>
                <w:color w:val="auto"/>
                <w:kern w:val="2"/>
                <w:sz w:val="24"/>
                <w:szCs w:val="22"/>
                <w:highlight w:val="none"/>
              </w:rPr>
              <w:t>评</w:t>
            </w:r>
            <w:r>
              <w:rPr>
                <w:rFonts w:hint="eastAsia" w:ascii="Microsoft JhengHei" w:hAnsi="Microsoft JhengHei" w:eastAsia="宋体" w:cs="Calibri"/>
                <w:b/>
                <w:color w:val="auto"/>
                <w:kern w:val="2"/>
                <w:sz w:val="24"/>
                <w:szCs w:val="22"/>
                <w:highlight w:val="none"/>
                <w:lang w:val="en-US" w:eastAsia="zh-CN"/>
              </w:rPr>
              <w:t xml:space="preserve">         </w:t>
            </w:r>
            <w:r>
              <w:rPr>
                <w:rFonts w:hint="eastAsia" w:ascii="Microsoft JhengHei" w:hAnsi="Microsoft JhengHei" w:eastAsia="Microsoft JhengHei" w:cs="Calibri"/>
                <w:b/>
                <w:color w:val="auto"/>
                <w:kern w:val="2"/>
                <w:sz w:val="24"/>
                <w:szCs w:val="22"/>
                <w:highlight w:val="none"/>
              </w:rPr>
              <w:t>价</w:t>
            </w:r>
            <w:r>
              <w:rPr>
                <w:rFonts w:hint="eastAsia" w:ascii="Microsoft JhengHei" w:hAnsi="Microsoft JhengHei" w:eastAsia="Microsoft JhengHei" w:cs="Calibri"/>
                <w:b/>
                <w:color w:val="auto"/>
                <w:kern w:val="2"/>
                <w:sz w:val="24"/>
                <w:szCs w:val="22"/>
                <w:highlight w:val="none"/>
              </w:rPr>
              <w:tab/>
            </w:r>
            <w:r>
              <w:rPr>
                <w:rFonts w:hint="eastAsia" w:ascii="Microsoft JhengHei" w:hAnsi="Microsoft JhengHei" w:eastAsia="Microsoft JhengHei" w:cs="Calibri"/>
                <w:b/>
                <w:color w:val="auto"/>
                <w:kern w:val="2"/>
                <w:sz w:val="24"/>
                <w:szCs w:val="22"/>
                <w:highlight w:val="none"/>
              </w:rPr>
              <w:t>指</w:t>
            </w:r>
            <w:r>
              <w:rPr>
                <w:rFonts w:hint="eastAsia" w:ascii="Microsoft JhengHei" w:hAnsi="Microsoft JhengHei" w:eastAsia="Microsoft JhengHei" w:cs="Calibri"/>
                <w:b/>
                <w:color w:val="auto"/>
                <w:kern w:val="2"/>
                <w:sz w:val="24"/>
                <w:szCs w:val="22"/>
                <w:highlight w:val="none"/>
              </w:rPr>
              <w:tab/>
            </w:r>
            <w:r>
              <w:rPr>
                <w:rFonts w:hint="eastAsia" w:ascii="Microsoft JhengHei" w:hAnsi="Microsoft JhengHei" w:eastAsia="Microsoft JhengHei" w:cs="Calibri"/>
                <w:b/>
                <w:color w:val="auto"/>
                <w:kern w:val="2"/>
                <w:sz w:val="24"/>
                <w:szCs w:val="22"/>
                <w:highlight w:val="none"/>
              </w:rPr>
              <w:t>标</w:t>
            </w:r>
          </w:p>
        </w:tc>
        <w:tc>
          <w:tcPr>
            <w:tcW w:w="15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Microsoft JhengHei" w:hAnsi="Microsoft JhengHei" w:eastAsia="Microsoft JhengHei" w:cs="Calibri"/>
                <w:b/>
                <w:color w:val="auto"/>
                <w:kern w:val="2"/>
                <w:sz w:val="24"/>
                <w:szCs w:val="22"/>
                <w:highlight w:val="none"/>
              </w:rPr>
              <w:t>轻度干旱</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Microsoft JhengHei" w:hAnsi="Microsoft JhengHei" w:eastAsia="Microsoft JhengHei" w:cs="Calibri"/>
                <w:b/>
                <w:color w:val="auto"/>
                <w:kern w:val="2"/>
                <w:sz w:val="24"/>
                <w:szCs w:val="22"/>
                <w:highlight w:val="none"/>
              </w:rPr>
              <w:t>中度干旱</w:t>
            </w:r>
          </w:p>
        </w:tc>
        <w:tc>
          <w:tcPr>
            <w:tcW w:w="135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Microsoft JhengHei" w:hAnsi="Microsoft JhengHei" w:eastAsia="Microsoft JhengHei" w:cs="Calibri"/>
                <w:b/>
                <w:color w:val="auto"/>
                <w:kern w:val="2"/>
                <w:sz w:val="24"/>
                <w:szCs w:val="22"/>
                <w:highlight w:val="none"/>
              </w:rPr>
              <w:t>重度 干旱</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Microsoft JhengHei" w:hAnsi="Microsoft JhengHei" w:eastAsia="Microsoft JhengHei" w:cs="Calibri"/>
                <w:b/>
                <w:color w:val="auto"/>
                <w:kern w:val="2"/>
                <w:sz w:val="24"/>
                <w:szCs w:val="22"/>
                <w:highlight w:val="none"/>
              </w:rPr>
              <w:t>特大 干旱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946"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Microsoft JhengHei" w:hAnsi="Microsoft JhengHei" w:eastAsia="Microsoft JhengHei" w:cs="Calibri"/>
                <w:b/>
                <w:color w:val="auto"/>
                <w:kern w:val="2"/>
                <w:sz w:val="24"/>
                <w:szCs w:val="22"/>
                <w:highlight w:val="none"/>
              </w:rPr>
              <w:t>主要 指标</w:t>
            </w:r>
          </w:p>
        </w:tc>
        <w:tc>
          <w:tcPr>
            <w:tcW w:w="3064"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连续无雨日</w:t>
            </w: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天）</w:t>
            </w:r>
          </w:p>
        </w:tc>
        <w:tc>
          <w:tcPr>
            <w:tcW w:w="15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25~40</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40~60</w:t>
            </w:r>
          </w:p>
        </w:tc>
        <w:tc>
          <w:tcPr>
            <w:tcW w:w="135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60~80</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Microsoft Sans Serif" w:hAnsi="Microsoft Sans Serif" w:eastAsia="Microsoft Sans Serif" w:cs="Calibri"/>
                <w:color w:val="auto"/>
                <w:kern w:val="2"/>
                <w:sz w:val="24"/>
                <w:szCs w:val="22"/>
                <w:highlight w:val="none"/>
              </w:rPr>
              <w:t>≥</w:t>
            </w:r>
            <w:r>
              <w:rPr>
                <w:rFonts w:hint="default" w:ascii="Calibri" w:hAnsi="Calibri" w:eastAsia="Calibri" w:cs="Calibri"/>
                <w:color w:val="auto"/>
                <w:kern w:val="2"/>
                <w:sz w:val="24"/>
                <w:szCs w:val="22"/>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jc w:val="center"/>
        </w:trPr>
        <w:tc>
          <w:tcPr>
            <w:tcW w:w="946" w:type="dxa"/>
            <w:vMerge w:val="continue"/>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1830"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b/>
                <w:color w:val="auto"/>
                <w:kern w:val="2"/>
                <w:sz w:val="24"/>
                <w:szCs w:val="22"/>
                <w:highlight w:val="none"/>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4"/>
                <w:szCs w:val="22"/>
                <w:highlight w:val="none"/>
              </w:rPr>
              <w:t>降水量距平率</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lang w:eastAsia="zh-CN"/>
              </w:rPr>
              <w:t>（</w:t>
            </w:r>
            <w:r>
              <w:rPr>
                <w:rFonts w:hint="default" w:ascii="Calibri" w:hAnsi="Calibri" w:eastAsia="Calibri" w:cs="Calibri"/>
                <w:color w:val="auto"/>
                <w:kern w:val="2"/>
                <w:sz w:val="24"/>
                <w:szCs w:val="22"/>
                <w:highlight w:val="none"/>
              </w:rPr>
              <w:t>%</w:t>
            </w:r>
            <w:r>
              <w:rPr>
                <w:rFonts w:hint="eastAsia" w:ascii="宋体" w:hAnsi="宋体" w:eastAsia="宋体" w:cs="Calibri"/>
                <w:b/>
                <w:color w:val="auto"/>
                <w:kern w:val="2"/>
                <w:sz w:val="24"/>
                <w:szCs w:val="22"/>
                <w:highlight w:val="none"/>
              </w:rPr>
              <w:t>）</w:t>
            </w:r>
          </w:p>
        </w:tc>
        <w:tc>
          <w:tcPr>
            <w:tcW w:w="123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 xml:space="preserve">30 </w:t>
            </w:r>
            <w:r>
              <w:rPr>
                <w:rFonts w:hint="eastAsia" w:ascii="宋体" w:hAnsi="宋体" w:eastAsia="宋体" w:cs="Calibri"/>
                <w:b/>
                <w:color w:val="auto"/>
                <w:kern w:val="2"/>
                <w:sz w:val="24"/>
                <w:szCs w:val="22"/>
                <w:highlight w:val="none"/>
              </w:rPr>
              <w:t>天</w:t>
            </w:r>
          </w:p>
        </w:tc>
        <w:tc>
          <w:tcPr>
            <w:tcW w:w="15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-75~-85</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Microsoft Sans Serif" w:hAnsi="Microsoft Sans Serif" w:eastAsia="Microsoft Sans Serif" w:cs="Calibri"/>
                <w:color w:val="auto"/>
                <w:kern w:val="2"/>
                <w:sz w:val="24"/>
                <w:szCs w:val="22"/>
                <w:highlight w:val="none"/>
              </w:rPr>
              <w:t>≤</w:t>
            </w:r>
            <w:r>
              <w:rPr>
                <w:rFonts w:hint="default" w:ascii="Calibri" w:hAnsi="Calibri" w:eastAsia="Calibri" w:cs="Calibri"/>
                <w:color w:val="auto"/>
                <w:kern w:val="2"/>
                <w:sz w:val="24"/>
                <w:szCs w:val="22"/>
                <w:highlight w:val="none"/>
              </w:rPr>
              <w:t>-85</w:t>
            </w:r>
          </w:p>
        </w:tc>
        <w:tc>
          <w:tcPr>
            <w:tcW w:w="135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jc w:val="center"/>
        </w:trPr>
        <w:tc>
          <w:tcPr>
            <w:tcW w:w="946" w:type="dxa"/>
            <w:vMerge w:val="continue"/>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1830" w:type="dxa"/>
            <w:vMerge w:val="continue"/>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123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 xml:space="preserve">60 </w:t>
            </w:r>
            <w:r>
              <w:rPr>
                <w:rFonts w:hint="eastAsia" w:ascii="宋体" w:hAnsi="宋体" w:eastAsia="宋体" w:cs="Calibri"/>
                <w:b/>
                <w:color w:val="auto"/>
                <w:kern w:val="2"/>
                <w:sz w:val="24"/>
                <w:szCs w:val="22"/>
                <w:highlight w:val="none"/>
              </w:rPr>
              <w:t>天</w:t>
            </w:r>
          </w:p>
        </w:tc>
        <w:tc>
          <w:tcPr>
            <w:tcW w:w="15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-40~-60</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-60~-75</w:t>
            </w:r>
          </w:p>
        </w:tc>
        <w:tc>
          <w:tcPr>
            <w:tcW w:w="135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-75~-90</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Microsoft Sans Serif" w:hAnsi="Microsoft Sans Serif" w:eastAsia="Microsoft Sans Serif" w:cs="Calibri"/>
                <w:color w:val="auto"/>
                <w:kern w:val="2"/>
                <w:sz w:val="24"/>
                <w:szCs w:val="22"/>
                <w:highlight w:val="none"/>
              </w:rPr>
              <w:t>≤</w:t>
            </w:r>
            <w:r>
              <w:rPr>
                <w:rFonts w:hint="default" w:ascii="Calibri" w:hAnsi="Calibri" w:eastAsia="Calibri" w:cs="Calibri"/>
                <w:color w:val="auto"/>
                <w:kern w:val="2"/>
                <w:sz w:val="24"/>
                <w:szCs w:val="22"/>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exact"/>
          <w:jc w:val="center"/>
        </w:trPr>
        <w:tc>
          <w:tcPr>
            <w:tcW w:w="946" w:type="dxa"/>
            <w:vMerge w:val="continue"/>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1830" w:type="dxa"/>
            <w:vMerge w:val="continue"/>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123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 xml:space="preserve">90 </w:t>
            </w:r>
            <w:r>
              <w:rPr>
                <w:rFonts w:hint="eastAsia" w:ascii="宋体" w:hAnsi="宋体" w:eastAsia="宋体" w:cs="Calibri"/>
                <w:b/>
                <w:color w:val="auto"/>
                <w:kern w:val="2"/>
                <w:sz w:val="24"/>
                <w:szCs w:val="22"/>
                <w:highlight w:val="none"/>
              </w:rPr>
              <w:t>天</w:t>
            </w:r>
          </w:p>
        </w:tc>
        <w:tc>
          <w:tcPr>
            <w:tcW w:w="15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-20~-30</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-30~-50</w:t>
            </w:r>
          </w:p>
        </w:tc>
        <w:tc>
          <w:tcPr>
            <w:tcW w:w="135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-50~-80</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Microsoft Sans Serif" w:hAnsi="Microsoft Sans Serif" w:eastAsia="Microsoft Sans Serif" w:cs="Calibri"/>
                <w:color w:val="auto"/>
                <w:kern w:val="2"/>
                <w:sz w:val="24"/>
                <w:szCs w:val="22"/>
                <w:highlight w:val="none"/>
              </w:rPr>
              <w:t>≤</w:t>
            </w:r>
            <w:r>
              <w:rPr>
                <w:rFonts w:hint="default" w:ascii="Calibri" w:hAnsi="Calibri" w:eastAsia="Calibri" w:cs="Calibri"/>
                <w:color w:val="auto"/>
                <w:kern w:val="2"/>
                <w:sz w:val="24"/>
                <w:szCs w:val="22"/>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946" w:type="dxa"/>
            <w:vMerge w:val="continue"/>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3064"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农作物受旱面积比例</w:t>
            </w:r>
            <w:r>
              <w:rPr>
                <w:rFonts w:hint="eastAsia" w:ascii="宋体" w:hAnsi="宋体" w:eastAsia="宋体" w:cs="Calibri"/>
                <w:b/>
                <w:color w:val="auto"/>
                <w:kern w:val="2"/>
                <w:sz w:val="24"/>
                <w:szCs w:val="22"/>
                <w:highlight w:val="none"/>
                <w:lang w:eastAsia="zh-CN"/>
              </w:rPr>
              <w:t>（</w:t>
            </w:r>
            <w:r>
              <w:rPr>
                <w:rFonts w:hint="default" w:ascii="Calibri" w:hAnsi="Calibri" w:eastAsia="Calibri" w:cs="Calibri"/>
                <w:color w:val="auto"/>
                <w:kern w:val="2"/>
                <w:sz w:val="24"/>
                <w:szCs w:val="22"/>
                <w:highlight w:val="none"/>
              </w:rPr>
              <w:t>%</w:t>
            </w:r>
            <w:r>
              <w:rPr>
                <w:rFonts w:hint="eastAsia" w:ascii="宋体" w:hAnsi="宋体" w:eastAsia="宋体" w:cs="Calibri"/>
                <w:b/>
                <w:color w:val="auto"/>
                <w:kern w:val="2"/>
                <w:sz w:val="24"/>
                <w:szCs w:val="22"/>
                <w:highlight w:val="none"/>
              </w:rPr>
              <w:t>）</w:t>
            </w:r>
          </w:p>
        </w:tc>
        <w:tc>
          <w:tcPr>
            <w:tcW w:w="15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15~30</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30~45</w:t>
            </w:r>
          </w:p>
        </w:tc>
        <w:tc>
          <w:tcPr>
            <w:tcW w:w="135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45~60</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Microsoft Sans Serif" w:hAnsi="Microsoft Sans Serif" w:eastAsia="Microsoft Sans Serif" w:cs="Calibri"/>
                <w:color w:val="auto"/>
                <w:kern w:val="2"/>
                <w:sz w:val="24"/>
                <w:szCs w:val="22"/>
                <w:highlight w:val="none"/>
              </w:rPr>
              <w:t>≥</w:t>
            </w:r>
            <w:r>
              <w:rPr>
                <w:rFonts w:hint="default" w:ascii="Calibri" w:hAnsi="Calibri" w:eastAsia="Calibri" w:cs="Calibri"/>
                <w:color w:val="auto"/>
                <w:kern w:val="2"/>
                <w:sz w:val="24"/>
                <w:szCs w:val="22"/>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946"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Microsoft JhengHei" w:hAnsi="Microsoft JhengHei" w:eastAsia="Microsoft JhengHei" w:cs="Calibri"/>
                <w:b/>
                <w:color w:val="auto"/>
                <w:kern w:val="2"/>
                <w:sz w:val="24"/>
                <w:szCs w:val="22"/>
                <w:highlight w:val="none"/>
              </w:rPr>
              <w:t>参考 指标</w:t>
            </w:r>
          </w:p>
        </w:tc>
        <w:tc>
          <w:tcPr>
            <w:tcW w:w="3064"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土壤相对湿度</w:t>
            </w:r>
            <w:r>
              <w:rPr>
                <w:rFonts w:hint="eastAsia" w:ascii="宋体" w:hAnsi="宋体" w:eastAsia="宋体" w:cs="Calibri"/>
                <w:b/>
                <w:color w:val="auto"/>
                <w:kern w:val="2"/>
                <w:sz w:val="24"/>
                <w:szCs w:val="22"/>
                <w:highlight w:val="none"/>
                <w:lang w:eastAsia="zh-CN"/>
              </w:rPr>
              <w:t>（</w:t>
            </w:r>
            <w:r>
              <w:rPr>
                <w:rFonts w:hint="default" w:ascii="Calibri" w:hAnsi="Calibri" w:eastAsia="Calibri" w:cs="Calibri"/>
                <w:color w:val="auto"/>
                <w:kern w:val="2"/>
                <w:sz w:val="24"/>
                <w:szCs w:val="22"/>
                <w:highlight w:val="none"/>
              </w:rPr>
              <w:t>%</w:t>
            </w:r>
            <w:r>
              <w:rPr>
                <w:rFonts w:hint="eastAsia" w:ascii="宋体" w:hAnsi="宋体" w:eastAsia="宋体" w:cs="Calibri"/>
                <w:b/>
                <w:color w:val="auto"/>
                <w:kern w:val="2"/>
                <w:sz w:val="24"/>
                <w:szCs w:val="22"/>
                <w:highlight w:val="none"/>
              </w:rPr>
              <w:t>）</w:t>
            </w:r>
          </w:p>
        </w:tc>
        <w:tc>
          <w:tcPr>
            <w:tcW w:w="15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60~50</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50~40</w:t>
            </w:r>
          </w:p>
        </w:tc>
        <w:tc>
          <w:tcPr>
            <w:tcW w:w="135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40~30</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Microsoft Sans Serif" w:hAnsi="Microsoft Sans Serif" w:eastAsia="Microsoft Sans Serif" w:cs="Calibri"/>
                <w:color w:val="auto"/>
                <w:kern w:val="2"/>
                <w:sz w:val="24"/>
                <w:szCs w:val="22"/>
                <w:highlight w:val="none"/>
              </w:rPr>
              <w:t>≤</w:t>
            </w:r>
            <w:r>
              <w:rPr>
                <w:rFonts w:hint="default" w:ascii="Calibri" w:hAnsi="Calibri" w:eastAsia="Calibri" w:cs="Calibri"/>
                <w:color w:val="auto"/>
                <w:kern w:val="2"/>
                <w:sz w:val="24"/>
                <w:szCs w:val="2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946" w:type="dxa"/>
            <w:vMerge w:val="continue"/>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3064"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人畜饮水临时困难率</w:t>
            </w:r>
            <w:r>
              <w:rPr>
                <w:rFonts w:hint="eastAsia" w:ascii="宋体" w:hAnsi="宋体" w:eastAsia="宋体" w:cs="Calibri"/>
                <w:b/>
                <w:color w:val="auto"/>
                <w:kern w:val="2"/>
                <w:sz w:val="24"/>
                <w:szCs w:val="22"/>
                <w:highlight w:val="none"/>
                <w:lang w:eastAsia="zh-CN"/>
              </w:rPr>
              <w:t>（</w:t>
            </w:r>
            <w:r>
              <w:rPr>
                <w:rFonts w:hint="default" w:ascii="Calibri" w:hAnsi="Calibri" w:eastAsia="Calibri" w:cs="Calibri"/>
                <w:color w:val="auto"/>
                <w:kern w:val="2"/>
                <w:sz w:val="24"/>
                <w:szCs w:val="22"/>
                <w:highlight w:val="none"/>
              </w:rPr>
              <w:t>%</w:t>
            </w:r>
            <w:r>
              <w:rPr>
                <w:rFonts w:hint="eastAsia" w:ascii="宋体" w:hAnsi="宋体" w:eastAsia="宋体" w:cs="Calibri"/>
                <w:b/>
                <w:color w:val="auto"/>
                <w:kern w:val="2"/>
                <w:sz w:val="24"/>
                <w:szCs w:val="22"/>
                <w:highlight w:val="none"/>
              </w:rPr>
              <w:t>）</w:t>
            </w:r>
          </w:p>
        </w:tc>
        <w:tc>
          <w:tcPr>
            <w:tcW w:w="15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0.5~1.5</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1.5~2.5</w:t>
            </w:r>
          </w:p>
        </w:tc>
        <w:tc>
          <w:tcPr>
            <w:tcW w:w="135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2.5~4.0</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Microsoft Sans Serif" w:hAnsi="Microsoft Sans Serif" w:eastAsia="Microsoft Sans Serif" w:cs="Calibri"/>
                <w:color w:val="auto"/>
                <w:kern w:val="2"/>
                <w:sz w:val="24"/>
                <w:szCs w:val="22"/>
                <w:highlight w:val="none"/>
              </w:rPr>
              <w:t>≥</w:t>
            </w:r>
            <w:r>
              <w:rPr>
                <w:rFonts w:hint="default" w:ascii="Calibri" w:hAnsi="Calibri" w:eastAsia="Calibri" w:cs="Calibri"/>
                <w:color w:val="auto"/>
                <w:kern w:val="2"/>
                <w:sz w:val="24"/>
                <w:szCs w:val="22"/>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exact"/>
          <w:jc w:val="center"/>
        </w:trPr>
        <w:tc>
          <w:tcPr>
            <w:tcW w:w="946" w:type="dxa"/>
            <w:vMerge w:val="restart"/>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p>
        </w:tc>
        <w:tc>
          <w:tcPr>
            <w:tcW w:w="3064"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河流来水量距平率</w:t>
            </w:r>
            <w:r>
              <w:rPr>
                <w:rFonts w:hint="eastAsia" w:ascii="宋体" w:hAnsi="宋体" w:eastAsia="宋体" w:cs="Calibri"/>
                <w:b/>
                <w:color w:val="auto"/>
                <w:kern w:val="2"/>
                <w:sz w:val="24"/>
                <w:szCs w:val="22"/>
                <w:highlight w:val="none"/>
                <w:lang w:eastAsia="zh-CN"/>
              </w:rPr>
              <w:t>（</w:t>
            </w:r>
            <w:r>
              <w:rPr>
                <w:rFonts w:hint="default" w:ascii="Calibri" w:hAnsi="Calibri" w:eastAsia="Calibri" w:cs="Calibri"/>
                <w:color w:val="auto"/>
                <w:kern w:val="2"/>
                <w:sz w:val="24"/>
                <w:szCs w:val="22"/>
                <w:highlight w:val="none"/>
              </w:rPr>
              <w:t>%</w:t>
            </w:r>
            <w:r>
              <w:rPr>
                <w:rFonts w:hint="eastAsia" w:ascii="宋体" w:hAnsi="宋体" w:eastAsia="宋体" w:cs="Calibri"/>
                <w:b/>
                <w:color w:val="auto"/>
                <w:kern w:val="2"/>
                <w:sz w:val="24"/>
                <w:szCs w:val="22"/>
                <w:highlight w:val="none"/>
              </w:rPr>
              <w:t>）</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-10~-30</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-30~-50</w:t>
            </w:r>
          </w:p>
        </w:tc>
        <w:tc>
          <w:tcPr>
            <w:tcW w:w="133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1"/>
                <w:szCs w:val="22"/>
                <w:highlight w:val="none"/>
              </w:rPr>
              <w:t>-50~-80</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default" w:ascii="Microsoft Sans Serif" w:hAnsi="Microsoft Sans Serif" w:eastAsia="Microsoft Sans Serif" w:cs="Calibri"/>
                <w:color w:val="auto"/>
                <w:kern w:val="2"/>
                <w:sz w:val="24"/>
                <w:szCs w:val="22"/>
                <w:highlight w:val="none"/>
              </w:rPr>
              <w:t>≤</w:t>
            </w:r>
            <w:r>
              <w:rPr>
                <w:rFonts w:hint="default" w:ascii="Calibri" w:hAnsi="Calibri" w:eastAsia="Calibri" w:cs="Calibri"/>
                <w:color w:val="auto"/>
                <w:kern w:val="2"/>
                <w:sz w:val="24"/>
                <w:szCs w:val="22"/>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946" w:type="dxa"/>
            <w:vMerge w:val="continue"/>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p>
        </w:tc>
        <w:tc>
          <w:tcPr>
            <w:tcW w:w="3064"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水库蓄水量距平率</w:t>
            </w:r>
            <w:r>
              <w:rPr>
                <w:rFonts w:hint="eastAsia" w:ascii="宋体" w:hAnsi="宋体" w:eastAsia="宋体" w:cs="Calibri"/>
                <w:b/>
                <w:color w:val="auto"/>
                <w:kern w:val="2"/>
                <w:sz w:val="24"/>
                <w:szCs w:val="22"/>
                <w:highlight w:val="none"/>
                <w:lang w:eastAsia="zh-CN"/>
              </w:rPr>
              <w:t>（</w:t>
            </w:r>
            <w:r>
              <w:rPr>
                <w:rFonts w:hint="default" w:ascii="Calibri" w:hAnsi="Calibri" w:eastAsia="Calibri" w:cs="Calibri"/>
                <w:color w:val="auto"/>
                <w:kern w:val="2"/>
                <w:sz w:val="24"/>
                <w:szCs w:val="22"/>
                <w:highlight w:val="none"/>
              </w:rPr>
              <w:t>%</w:t>
            </w:r>
            <w:r>
              <w:rPr>
                <w:rFonts w:hint="eastAsia" w:ascii="宋体" w:hAnsi="宋体" w:eastAsia="宋体" w:cs="Calibri"/>
                <w:b/>
                <w:color w:val="auto"/>
                <w:kern w:val="2"/>
                <w:sz w:val="24"/>
                <w:szCs w:val="22"/>
                <w:highlight w:val="none"/>
              </w:rPr>
              <w:t>）</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-10~-30</w:t>
            </w:r>
          </w:p>
        </w:tc>
        <w:tc>
          <w:tcPr>
            <w:tcW w:w="1572"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4"/>
                <w:szCs w:val="22"/>
                <w:highlight w:val="none"/>
              </w:rPr>
              <w:t>-30~-50</w:t>
            </w:r>
          </w:p>
        </w:tc>
        <w:tc>
          <w:tcPr>
            <w:tcW w:w="133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r>
              <w:rPr>
                <w:rFonts w:hint="default" w:ascii="Calibri" w:hAnsi="Calibri" w:eastAsia="Calibri" w:cs="Calibri"/>
                <w:color w:val="auto"/>
                <w:kern w:val="2"/>
                <w:sz w:val="21"/>
                <w:szCs w:val="22"/>
                <w:highlight w:val="none"/>
              </w:rPr>
              <w:t>-50~-80</w:t>
            </w:r>
          </w:p>
        </w:tc>
        <w:tc>
          <w:tcPr>
            <w:tcW w:w="13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r>
              <w:rPr>
                <w:rFonts w:hint="default" w:ascii="Microsoft Sans Serif" w:hAnsi="Microsoft Sans Serif" w:eastAsia="Microsoft Sans Serif" w:cs="Calibri"/>
                <w:color w:val="auto"/>
                <w:kern w:val="2"/>
                <w:sz w:val="24"/>
                <w:szCs w:val="22"/>
                <w:highlight w:val="none"/>
              </w:rPr>
              <w:t>≤</w:t>
            </w:r>
            <w:r>
              <w:rPr>
                <w:rFonts w:hint="default" w:ascii="Calibri" w:hAnsi="Calibri" w:eastAsia="Calibri" w:cs="Calibri"/>
                <w:color w:val="auto"/>
                <w:kern w:val="2"/>
                <w:sz w:val="24"/>
                <w:szCs w:val="22"/>
                <w:highlight w:val="none"/>
              </w:rPr>
              <w:t>-80</w:t>
            </w:r>
          </w:p>
        </w:tc>
      </w:tr>
    </w:tbl>
    <w:p>
      <w:pPr>
        <w:keepNext w:val="0"/>
        <w:keepLines w:val="0"/>
        <w:pageBreakBefore w:val="0"/>
        <w:widowControl w:val="0"/>
        <w:wordWrap/>
        <w:topLinePunct w:val="0"/>
        <w:autoSpaceDE/>
        <w:autoSpaceDN/>
        <w:bidi w:val="0"/>
        <w:adjustRightInd/>
        <w:snapToGrid/>
        <w:spacing w:line="560" w:lineRule="exac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〔注：①源自《海南省防汛防风抗旱应急预案》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琼府办〔2016〕60号</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p>
    <w:p>
      <w:pPr>
        <w:pStyle w:val="4"/>
        <w:keepNext w:val="0"/>
        <w:keepLines w:val="0"/>
        <w:pageBreakBefore w:val="0"/>
        <w:widowControl w:val="0"/>
        <w:kinsoku w:val="0"/>
        <w:wordWrap/>
        <w:overflowPunct w:val="0"/>
        <w:topLinePunct w:val="0"/>
        <w:autoSpaceDE/>
        <w:autoSpaceDN/>
        <w:bidi w:val="0"/>
        <w:adjustRightInd/>
        <w:snapToGrid/>
        <w:spacing w:before="0" w:line="560" w:lineRule="exact"/>
        <w:ind w:left="0" w:firstLine="720" w:firstLineChars="3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②“农作物受旱面积比例”指标应以国家相关指标为准。</w:t>
      </w:r>
    </w:p>
    <w:p>
      <w:pPr>
        <w:bidi w:val="0"/>
        <w:ind w:firstLine="640" w:firstLineChars="200"/>
        <w:rPr>
          <w:rFonts w:hint="eastAsia" w:ascii="楷体_GB2312" w:hAnsi="楷体_GB2312" w:eastAsia="楷体_GB2312" w:cs="楷体_GB2312"/>
          <w:sz w:val="32"/>
          <w:szCs w:val="32"/>
          <w:highlight w:val="none"/>
          <w:lang w:eastAsia="zh-CN"/>
        </w:rPr>
      </w:pPr>
      <w:bookmarkStart w:id="1074" w:name="_Toc2652_WPSOffice_Level2"/>
      <w:r>
        <w:rPr>
          <w:rFonts w:hint="eastAsia" w:ascii="楷体_GB2312" w:hAnsi="楷体_GB2312" w:eastAsia="楷体_GB2312" w:cs="楷体_GB2312"/>
          <w:sz w:val="32"/>
          <w:szCs w:val="32"/>
          <w:highlight w:val="none"/>
          <w:lang w:eastAsia="zh-CN"/>
        </w:rPr>
        <w:t>（五）森林火灾</w:t>
      </w:r>
      <w:bookmarkEnd w:id="1074"/>
    </w:p>
    <w:tbl>
      <w:tblPr>
        <w:tblStyle w:val="10"/>
        <w:tblW w:w="9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1809"/>
        <w:gridCol w:w="2415"/>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jc w:val="center"/>
        </w:trPr>
        <w:tc>
          <w:tcPr>
            <w:tcW w:w="2035"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黑体" w:hAnsi="黑体" w:eastAsia="黑体" w:cs="Calibri"/>
                <w:b/>
                <w:color w:val="auto"/>
                <w:kern w:val="2"/>
                <w:sz w:val="28"/>
                <w:szCs w:val="22"/>
                <w:highlight w:val="none"/>
              </w:rPr>
              <w:t>森林火灾</w:t>
            </w:r>
          </w:p>
        </w:tc>
        <w:tc>
          <w:tcPr>
            <w:tcW w:w="7371" w:type="dxa"/>
            <w:gridSpan w:val="3"/>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黑体" w:hAnsi="黑体" w:eastAsia="黑体" w:cs="Calibri"/>
                <w:color w:val="auto"/>
                <w:kern w:val="2"/>
                <w:sz w:val="24"/>
                <w:szCs w:val="22"/>
                <w:highlight w:val="none"/>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jc w:val="center"/>
        </w:trPr>
        <w:tc>
          <w:tcPr>
            <w:tcW w:w="2035"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180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b/>
                <w:color w:val="auto"/>
                <w:kern w:val="2"/>
                <w:sz w:val="24"/>
                <w:szCs w:val="22"/>
                <w:highlight w:val="none"/>
              </w:rPr>
              <w:t>人员死亡</w:t>
            </w:r>
          </w:p>
        </w:tc>
        <w:tc>
          <w:tcPr>
            <w:tcW w:w="24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b/>
                <w:color w:val="auto"/>
                <w:kern w:val="2"/>
                <w:sz w:val="24"/>
                <w:szCs w:val="22"/>
                <w:highlight w:val="none"/>
              </w:rPr>
              <w:t>重伤人数</w:t>
            </w:r>
          </w:p>
        </w:tc>
        <w:tc>
          <w:tcPr>
            <w:tcW w:w="314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4"/>
                <w:szCs w:val="22"/>
                <w:highlight w:val="none"/>
              </w:rPr>
            </w:pPr>
            <w:r>
              <w:rPr>
                <w:rFonts w:hint="eastAsia" w:ascii="仿宋_GB2312" w:hAnsi="仿宋_GB2312" w:eastAsia="仿宋_GB2312" w:cs="Calibri"/>
                <w:b/>
                <w:color w:val="auto"/>
                <w:kern w:val="2"/>
                <w:sz w:val="24"/>
                <w:szCs w:val="22"/>
                <w:highlight w:val="none"/>
              </w:rPr>
              <w:t>受害森林面积</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cs="Calibri"/>
                <w:b/>
                <w:color w:val="auto"/>
                <w:kern w:val="2"/>
                <w:sz w:val="24"/>
                <w:szCs w:val="22"/>
                <w:highlight w:val="none"/>
                <w:lang w:eastAsia="zh-CN"/>
              </w:rPr>
              <w:t>（</w:t>
            </w:r>
            <w:r>
              <w:rPr>
                <w:rFonts w:hint="eastAsia" w:ascii="仿宋_GB2312" w:hAnsi="仿宋_GB2312" w:eastAsia="仿宋_GB2312" w:cs="Calibri"/>
                <w:b/>
                <w:color w:val="auto"/>
                <w:kern w:val="2"/>
                <w:sz w:val="24"/>
                <w:szCs w:val="22"/>
                <w:highlight w:val="none"/>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b/>
                <w:color w:val="auto"/>
                <w:kern w:val="2"/>
                <w:sz w:val="24"/>
                <w:szCs w:val="22"/>
                <w:highlight w:val="none"/>
              </w:rPr>
            </w:pPr>
            <w:r>
              <w:rPr>
                <w:rFonts w:hint="eastAsia" w:ascii="仿宋_GB2312" w:hAnsi="仿宋_GB2312" w:eastAsia="仿宋_GB2312" w:cs="Calibri"/>
                <w:b/>
                <w:color w:val="auto"/>
                <w:kern w:val="2"/>
                <w:sz w:val="24"/>
                <w:szCs w:val="22"/>
                <w:highlight w:val="none"/>
              </w:rPr>
              <w:t>特别重大</w:t>
            </w:r>
          </w:p>
        </w:tc>
        <w:tc>
          <w:tcPr>
            <w:tcW w:w="180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b/>
                <w:color w:val="auto"/>
                <w:kern w:val="2"/>
                <w:sz w:val="24"/>
                <w:szCs w:val="22"/>
                <w:highlight w:val="none"/>
              </w:rPr>
            </w:pPr>
            <w:r>
              <w:rPr>
                <w:rFonts w:hint="eastAsia" w:ascii="仿宋_GB2312" w:hAnsi="仿宋_GB2312" w:eastAsia="仿宋_GB2312" w:cs="Calibri"/>
                <w:b/>
                <w:color w:val="auto"/>
                <w:kern w:val="2"/>
                <w:sz w:val="24"/>
                <w:szCs w:val="22"/>
                <w:highlight w:val="none"/>
              </w:rPr>
              <w:t>30 人以上</w:t>
            </w:r>
          </w:p>
        </w:tc>
        <w:tc>
          <w:tcPr>
            <w:tcW w:w="24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b/>
                <w:color w:val="auto"/>
                <w:kern w:val="2"/>
                <w:sz w:val="24"/>
                <w:szCs w:val="22"/>
                <w:highlight w:val="none"/>
              </w:rPr>
            </w:pPr>
            <w:r>
              <w:rPr>
                <w:rFonts w:hint="eastAsia" w:ascii="仿宋_GB2312" w:hAnsi="仿宋_GB2312" w:eastAsia="仿宋_GB2312" w:cs="Calibri"/>
                <w:b/>
                <w:color w:val="auto"/>
                <w:kern w:val="2"/>
                <w:sz w:val="24"/>
                <w:szCs w:val="22"/>
                <w:highlight w:val="none"/>
              </w:rPr>
              <w:t>100 人以上</w:t>
            </w:r>
          </w:p>
        </w:tc>
        <w:tc>
          <w:tcPr>
            <w:tcW w:w="314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b/>
                <w:color w:val="auto"/>
                <w:kern w:val="2"/>
                <w:sz w:val="24"/>
                <w:szCs w:val="22"/>
                <w:highlight w:val="none"/>
              </w:rPr>
            </w:pPr>
            <w:r>
              <w:rPr>
                <w:rFonts w:hint="eastAsia" w:ascii="仿宋_GB2312" w:hAnsi="仿宋_GB2312" w:eastAsia="仿宋_GB2312" w:cs="Calibri"/>
                <w:b/>
                <w:color w:val="auto"/>
                <w:kern w:val="2"/>
                <w:sz w:val="24"/>
                <w:szCs w:val="22"/>
                <w:highlight w:val="none"/>
              </w:rPr>
              <w:t>1000 公顷以上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35" w:type="dxa"/>
            <w:tcBorders>
              <w:tl2br w:val="nil"/>
              <w:tr2bl w:val="nil"/>
            </w:tcBorders>
            <w:noWrap w:val="0"/>
            <w:vAlign w:val="center"/>
          </w:tcPr>
          <w:p>
            <w:pPr>
              <w:pStyle w:val="12"/>
              <w:widowControl w:val="0"/>
              <w:tabs>
                <w:tab w:val="left" w:pos="1050"/>
              </w:tabs>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b/>
                <w:color w:val="auto"/>
                <w:kern w:val="2"/>
                <w:sz w:val="24"/>
                <w:szCs w:val="22"/>
                <w:highlight w:val="none"/>
              </w:rPr>
            </w:pPr>
            <w:r>
              <w:rPr>
                <w:rFonts w:hint="eastAsia" w:ascii="仿宋_GB2312" w:hAnsi="仿宋_GB2312" w:eastAsia="仿宋_GB2312" w:cs="Calibri"/>
                <w:b/>
                <w:color w:val="auto"/>
                <w:kern w:val="2"/>
                <w:sz w:val="24"/>
                <w:szCs w:val="22"/>
                <w:highlight w:val="none"/>
              </w:rPr>
              <w:t>重</w:t>
            </w:r>
            <w:r>
              <w:rPr>
                <w:rFonts w:hint="eastAsia" w:ascii="仿宋_GB2312" w:hAnsi="仿宋_GB2312" w:eastAsia="仿宋_GB2312" w:cs="Calibri"/>
                <w:b/>
                <w:color w:val="auto"/>
                <w:kern w:val="2"/>
                <w:sz w:val="24"/>
                <w:szCs w:val="22"/>
                <w:highlight w:val="none"/>
                <w:lang w:val="en-US" w:eastAsia="zh-CN"/>
              </w:rPr>
              <w:t xml:space="preserve"> </w:t>
            </w:r>
            <w:r>
              <w:rPr>
                <w:rFonts w:hint="eastAsia" w:ascii="仿宋_GB2312" w:hAnsi="仿宋_GB2312" w:eastAsia="仿宋_GB2312" w:cs="Calibri"/>
                <w:b/>
                <w:color w:val="auto"/>
                <w:kern w:val="2"/>
                <w:sz w:val="24"/>
                <w:szCs w:val="22"/>
                <w:highlight w:val="none"/>
              </w:rPr>
              <w:t>大</w:t>
            </w:r>
          </w:p>
        </w:tc>
        <w:tc>
          <w:tcPr>
            <w:tcW w:w="180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Calibri" w:hAnsi="Calibri" w:eastAsia="仿宋_GB2312" w:cs="Calibri"/>
                <w:b/>
                <w:color w:val="auto"/>
                <w:kern w:val="2"/>
                <w:sz w:val="24"/>
                <w:szCs w:val="22"/>
                <w:highlight w:val="none"/>
                <w:lang w:eastAsia="zh-CN"/>
              </w:rPr>
            </w:pPr>
            <w:r>
              <w:rPr>
                <w:rFonts w:hint="eastAsia" w:ascii="仿宋_GB2312" w:hAnsi="仿宋_GB2312" w:eastAsia="仿宋_GB2312" w:cs="Calibri"/>
                <w:b/>
                <w:color w:val="auto"/>
                <w:kern w:val="2"/>
                <w:sz w:val="24"/>
                <w:szCs w:val="22"/>
                <w:highlight w:val="none"/>
              </w:rPr>
              <w:t>10—29</w:t>
            </w:r>
            <w:r>
              <w:rPr>
                <w:rFonts w:hint="eastAsia" w:ascii="仿宋_GB2312" w:hAnsi="仿宋_GB2312" w:cs="Calibri"/>
                <w:b/>
                <w:color w:val="auto"/>
                <w:kern w:val="2"/>
                <w:sz w:val="24"/>
                <w:szCs w:val="22"/>
                <w:highlight w:val="none"/>
                <w:lang w:eastAsia="zh-CN"/>
              </w:rPr>
              <w:t>（</w:t>
            </w:r>
            <w:r>
              <w:rPr>
                <w:rFonts w:hint="eastAsia" w:ascii="仿宋_GB2312" w:hAnsi="仿宋_GB2312" w:eastAsia="仿宋_GB2312" w:cs="Calibri"/>
                <w:b/>
                <w:color w:val="auto"/>
                <w:kern w:val="2"/>
                <w:sz w:val="24"/>
                <w:szCs w:val="22"/>
                <w:highlight w:val="none"/>
              </w:rPr>
              <w:t>人</w:t>
            </w:r>
            <w:r>
              <w:rPr>
                <w:rFonts w:hint="eastAsia" w:ascii="仿宋_GB2312" w:hAnsi="仿宋_GB2312" w:cs="Calibri"/>
                <w:b/>
                <w:color w:val="auto"/>
                <w:kern w:val="2"/>
                <w:sz w:val="24"/>
                <w:szCs w:val="22"/>
                <w:highlight w:val="none"/>
                <w:lang w:eastAsia="zh-CN"/>
              </w:rPr>
              <w:t>）</w:t>
            </w:r>
          </w:p>
        </w:tc>
        <w:tc>
          <w:tcPr>
            <w:tcW w:w="24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Calibri" w:hAnsi="Calibri" w:eastAsia="仿宋_GB2312" w:cs="Calibri"/>
                <w:b/>
                <w:color w:val="auto"/>
                <w:kern w:val="2"/>
                <w:sz w:val="24"/>
                <w:szCs w:val="22"/>
                <w:highlight w:val="none"/>
                <w:lang w:eastAsia="zh-CN"/>
              </w:rPr>
            </w:pPr>
            <w:r>
              <w:rPr>
                <w:rFonts w:hint="eastAsia" w:ascii="仿宋_GB2312" w:hAnsi="仿宋_GB2312" w:eastAsia="仿宋_GB2312" w:cs="Calibri"/>
                <w:b/>
                <w:color w:val="auto"/>
                <w:kern w:val="2"/>
                <w:sz w:val="24"/>
                <w:szCs w:val="22"/>
                <w:highlight w:val="none"/>
              </w:rPr>
              <w:t>50-99</w:t>
            </w:r>
            <w:r>
              <w:rPr>
                <w:rFonts w:hint="eastAsia" w:ascii="仿宋_GB2312" w:hAnsi="仿宋_GB2312" w:cs="Calibri"/>
                <w:b/>
                <w:color w:val="auto"/>
                <w:kern w:val="2"/>
                <w:sz w:val="24"/>
                <w:szCs w:val="22"/>
                <w:highlight w:val="none"/>
                <w:lang w:eastAsia="zh-CN"/>
              </w:rPr>
              <w:t>（</w:t>
            </w:r>
            <w:r>
              <w:rPr>
                <w:rFonts w:hint="eastAsia" w:ascii="仿宋_GB2312" w:hAnsi="仿宋_GB2312" w:eastAsia="仿宋_GB2312" w:cs="Calibri"/>
                <w:b/>
                <w:color w:val="auto"/>
                <w:kern w:val="2"/>
                <w:sz w:val="24"/>
                <w:szCs w:val="22"/>
                <w:highlight w:val="none"/>
              </w:rPr>
              <w:t>人</w:t>
            </w:r>
            <w:r>
              <w:rPr>
                <w:rFonts w:hint="eastAsia" w:ascii="仿宋_GB2312" w:hAnsi="仿宋_GB2312" w:cs="Calibri"/>
                <w:b/>
                <w:color w:val="auto"/>
                <w:kern w:val="2"/>
                <w:sz w:val="24"/>
                <w:szCs w:val="22"/>
                <w:highlight w:val="none"/>
                <w:lang w:eastAsia="zh-CN"/>
              </w:rPr>
              <w:t>）</w:t>
            </w:r>
          </w:p>
        </w:tc>
        <w:tc>
          <w:tcPr>
            <w:tcW w:w="314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Calibri" w:hAnsi="Calibri" w:eastAsia="仿宋_GB2312" w:cs="Calibri"/>
                <w:b/>
                <w:color w:val="auto"/>
                <w:kern w:val="2"/>
                <w:sz w:val="24"/>
                <w:szCs w:val="22"/>
                <w:highlight w:val="none"/>
                <w:lang w:eastAsia="zh-CN"/>
              </w:rPr>
            </w:pPr>
            <w:r>
              <w:rPr>
                <w:rFonts w:hint="eastAsia" w:ascii="仿宋_GB2312" w:hAnsi="仿宋_GB2312" w:eastAsia="仿宋_GB2312" w:cs="Calibri"/>
                <w:b/>
                <w:color w:val="auto"/>
                <w:kern w:val="2"/>
                <w:sz w:val="24"/>
                <w:szCs w:val="22"/>
                <w:highlight w:val="none"/>
              </w:rPr>
              <w:t>100-1000</w:t>
            </w:r>
            <w:r>
              <w:rPr>
                <w:rFonts w:hint="eastAsia" w:ascii="仿宋_GB2312" w:hAnsi="仿宋_GB2312" w:cs="Calibri"/>
                <w:b/>
                <w:color w:val="auto"/>
                <w:kern w:val="2"/>
                <w:sz w:val="24"/>
                <w:szCs w:val="22"/>
                <w:highlight w:val="none"/>
                <w:lang w:eastAsia="zh-CN"/>
              </w:rPr>
              <w:t>（</w:t>
            </w:r>
            <w:r>
              <w:rPr>
                <w:rFonts w:hint="eastAsia" w:ascii="仿宋_GB2312" w:hAnsi="仿宋_GB2312" w:eastAsia="仿宋_GB2312" w:cs="Calibri"/>
                <w:b/>
                <w:color w:val="auto"/>
                <w:kern w:val="2"/>
                <w:sz w:val="24"/>
                <w:szCs w:val="22"/>
                <w:highlight w:val="none"/>
              </w:rPr>
              <w:t>公顷</w:t>
            </w:r>
            <w:r>
              <w:rPr>
                <w:rFonts w:hint="eastAsia" w:ascii="仿宋_GB2312" w:hAnsi="仿宋_GB2312" w:cs="Calibri"/>
                <w:b/>
                <w:color w:val="auto"/>
                <w:kern w:val="2"/>
                <w:sz w:val="24"/>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b/>
                <w:color w:val="auto"/>
                <w:kern w:val="2"/>
                <w:sz w:val="24"/>
                <w:szCs w:val="22"/>
                <w:highlight w:val="none"/>
              </w:rPr>
            </w:pPr>
            <w:r>
              <w:rPr>
                <w:rFonts w:hint="eastAsia" w:ascii="仿宋_GB2312" w:hAnsi="仿宋_GB2312" w:eastAsia="仿宋_GB2312" w:cs="Calibri"/>
                <w:b/>
                <w:color w:val="auto"/>
                <w:kern w:val="2"/>
                <w:sz w:val="24"/>
                <w:szCs w:val="22"/>
                <w:highlight w:val="none"/>
              </w:rPr>
              <w:t>较 大</w:t>
            </w:r>
          </w:p>
        </w:tc>
        <w:tc>
          <w:tcPr>
            <w:tcW w:w="180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Calibri" w:hAnsi="Calibri" w:eastAsia="仿宋_GB2312" w:cs="Calibri"/>
                <w:b/>
                <w:color w:val="auto"/>
                <w:kern w:val="2"/>
                <w:sz w:val="24"/>
                <w:szCs w:val="22"/>
                <w:highlight w:val="none"/>
                <w:lang w:eastAsia="zh-CN"/>
              </w:rPr>
            </w:pPr>
            <w:r>
              <w:rPr>
                <w:rFonts w:hint="eastAsia" w:ascii="仿宋_GB2312" w:hAnsi="仿宋_GB2312" w:eastAsia="仿宋_GB2312" w:cs="Calibri"/>
                <w:b/>
                <w:color w:val="auto"/>
                <w:kern w:val="2"/>
                <w:sz w:val="24"/>
                <w:szCs w:val="22"/>
                <w:highlight w:val="none"/>
              </w:rPr>
              <w:t>3-9</w:t>
            </w:r>
            <w:r>
              <w:rPr>
                <w:rFonts w:hint="eastAsia" w:ascii="仿宋_GB2312" w:hAnsi="仿宋_GB2312" w:cs="Calibri"/>
                <w:b/>
                <w:color w:val="auto"/>
                <w:kern w:val="2"/>
                <w:sz w:val="24"/>
                <w:szCs w:val="22"/>
                <w:highlight w:val="none"/>
                <w:lang w:eastAsia="zh-CN"/>
              </w:rPr>
              <w:t>（</w:t>
            </w:r>
            <w:r>
              <w:rPr>
                <w:rFonts w:hint="eastAsia" w:ascii="仿宋_GB2312" w:hAnsi="仿宋_GB2312" w:eastAsia="仿宋_GB2312" w:cs="Calibri"/>
                <w:b/>
                <w:color w:val="auto"/>
                <w:kern w:val="2"/>
                <w:sz w:val="24"/>
                <w:szCs w:val="22"/>
                <w:highlight w:val="none"/>
              </w:rPr>
              <w:t>人</w:t>
            </w:r>
            <w:r>
              <w:rPr>
                <w:rFonts w:hint="eastAsia" w:ascii="仿宋_GB2312" w:hAnsi="仿宋_GB2312" w:cs="Calibri"/>
                <w:b/>
                <w:color w:val="auto"/>
                <w:kern w:val="2"/>
                <w:sz w:val="24"/>
                <w:szCs w:val="22"/>
                <w:highlight w:val="none"/>
                <w:lang w:eastAsia="zh-CN"/>
              </w:rPr>
              <w:t>）</w:t>
            </w:r>
          </w:p>
        </w:tc>
        <w:tc>
          <w:tcPr>
            <w:tcW w:w="24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Calibri" w:hAnsi="Calibri" w:eastAsia="仿宋_GB2312" w:cs="Calibri"/>
                <w:b/>
                <w:color w:val="auto"/>
                <w:kern w:val="2"/>
                <w:sz w:val="24"/>
                <w:szCs w:val="22"/>
                <w:highlight w:val="none"/>
                <w:lang w:eastAsia="zh-CN"/>
              </w:rPr>
            </w:pPr>
            <w:r>
              <w:rPr>
                <w:rFonts w:hint="eastAsia" w:ascii="仿宋_GB2312" w:hAnsi="仿宋_GB2312" w:eastAsia="仿宋_GB2312" w:cs="Calibri"/>
                <w:b/>
                <w:color w:val="auto"/>
                <w:kern w:val="2"/>
                <w:sz w:val="24"/>
                <w:szCs w:val="22"/>
                <w:highlight w:val="none"/>
              </w:rPr>
              <w:t>10-49</w:t>
            </w:r>
            <w:r>
              <w:rPr>
                <w:rFonts w:hint="eastAsia" w:ascii="仿宋_GB2312" w:hAnsi="仿宋_GB2312" w:cs="Calibri"/>
                <w:b/>
                <w:color w:val="auto"/>
                <w:kern w:val="2"/>
                <w:sz w:val="24"/>
                <w:szCs w:val="22"/>
                <w:highlight w:val="none"/>
                <w:lang w:eastAsia="zh-CN"/>
              </w:rPr>
              <w:t>（</w:t>
            </w:r>
            <w:r>
              <w:rPr>
                <w:rFonts w:hint="eastAsia" w:ascii="仿宋_GB2312" w:hAnsi="仿宋_GB2312" w:eastAsia="仿宋_GB2312" w:cs="Calibri"/>
                <w:b/>
                <w:color w:val="auto"/>
                <w:kern w:val="2"/>
                <w:sz w:val="24"/>
                <w:szCs w:val="22"/>
                <w:highlight w:val="none"/>
              </w:rPr>
              <w:t>人</w:t>
            </w:r>
            <w:r>
              <w:rPr>
                <w:rFonts w:hint="eastAsia" w:ascii="仿宋_GB2312" w:hAnsi="仿宋_GB2312" w:cs="Calibri"/>
                <w:b/>
                <w:color w:val="auto"/>
                <w:kern w:val="2"/>
                <w:sz w:val="24"/>
                <w:szCs w:val="22"/>
                <w:highlight w:val="none"/>
                <w:lang w:eastAsia="zh-CN"/>
              </w:rPr>
              <w:t>）</w:t>
            </w:r>
          </w:p>
        </w:tc>
        <w:tc>
          <w:tcPr>
            <w:tcW w:w="314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Calibri" w:hAnsi="Calibri" w:eastAsia="仿宋_GB2312" w:cs="Calibri"/>
                <w:b/>
                <w:color w:val="auto"/>
                <w:kern w:val="2"/>
                <w:sz w:val="24"/>
                <w:szCs w:val="22"/>
                <w:highlight w:val="none"/>
                <w:lang w:eastAsia="zh-CN"/>
              </w:rPr>
            </w:pPr>
            <w:r>
              <w:rPr>
                <w:rFonts w:hint="eastAsia" w:ascii="仿宋_GB2312" w:hAnsi="仿宋_GB2312" w:eastAsia="仿宋_GB2312" w:cs="Calibri"/>
                <w:b/>
                <w:color w:val="auto"/>
                <w:kern w:val="2"/>
                <w:sz w:val="24"/>
                <w:szCs w:val="22"/>
                <w:highlight w:val="none"/>
              </w:rPr>
              <w:t>1-100</w:t>
            </w:r>
            <w:r>
              <w:rPr>
                <w:rFonts w:hint="eastAsia" w:ascii="仿宋_GB2312" w:hAnsi="仿宋_GB2312" w:cs="Calibri"/>
                <w:b/>
                <w:color w:val="auto"/>
                <w:kern w:val="2"/>
                <w:sz w:val="24"/>
                <w:szCs w:val="22"/>
                <w:highlight w:val="none"/>
                <w:lang w:eastAsia="zh-CN"/>
              </w:rPr>
              <w:t>（</w:t>
            </w:r>
            <w:r>
              <w:rPr>
                <w:rFonts w:hint="eastAsia" w:ascii="仿宋_GB2312" w:hAnsi="仿宋_GB2312" w:eastAsia="仿宋_GB2312" w:cs="Calibri"/>
                <w:b/>
                <w:color w:val="auto"/>
                <w:kern w:val="2"/>
                <w:sz w:val="24"/>
                <w:szCs w:val="22"/>
                <w:highlight w:val="none"/>
              </w:rPr>
              <w:t>公顷</w:t>
            </w:r>
            <w:r>
              <w:rPr>
                <w:rFonts w:hint="eastAsia" w:ascii="仿宋_GB2312" w:hAnsi="仿宋_GB2312" w:cs="Calibri"/>
                <w:b/>
                <w:color w:val="auto"/>
                <w:kern w:val="2"/>
                <w:sz w:val="24"/>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b/>
                <w:color w:val="auto"/>
                <w:kern w:val="2"/>
                <w:sz w:val="24"/>
                <w:szCs w:val="22"/>
                <w:highlight w:val="none"/>
              </w:rPr>
            </w:pPr>
            <w:r>
              <w:rPr>
                <w:rFonts w:hint="eastAsia" w:ascii="仿宋_GB2312" w:hAnsi="仿宋_GB2312" w:eastAsia="仿宋_GB2312" w:cs="Calibri"/>
                <w:b/>
                <w:color w:val="auto"/>
                <w:kern w:val="2"/>
                <w:sz w:val="24"/>
                <w:szCs w:val="22"/>
                <w:highlight w:val="none"/>
              </w:rPr>
              <w:t>一 般</w:t>
            </w:r>
          </w:p>
        </w:tc>
        <w:tc>
          <w:tcPr>
            <w:tcW w:w="180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Calibri" w:hAnsi="Calibri" w:eastAsia="仿宋_GB2312" w:cs="Calibri"/>
                <w:b/>
                <w:color w:val="auto"/>
                <w:kern w:val="2"/>
                <w:sz w:val="24"/>
                <w:szCs w:val="22"/>
                <w:highlight w:val="none"/>
                <w:lang w:eastAsia="zh-CN"/>
              </w:rPr>
            </w:pPr>
            <w:r>
              <w:rPr>
                <w:rFonts w:hint="eastAsia" w:ascii="仿宋_GB2312" w:hAnsi="仿宋_GB2312" w:eastAsia="仿宋_GB2312" w:cs="Calibri"/>
                <w:b/>
                <w:color w:val="auto"/>
                <w:kern w:val="2"/>
                <w:sz w:val="24"/>
                <w:szCs w:val="22"/>
                <w:highlight w:val="none"/>
              </w:rPr>
              <w:t>1-2</w:t>
            </w:r>
            <w:r>
              <w:rPr>
                <w:rFonts w:hint="eastAsia" w:ascii="仿宋_GB2312" w:hAnsi="仿宋_GB2312" w:cs="Calibri"/>
                <w:b/>
                <w:color w:val="auto"/>
                <w:kern w:val="2"/>
                <w:sz w:val="24"/>
                <w:szCs w:val="22"/>
                <w:highlight w:val="none"/>
                <w:lang w:eastAsia="zh-CN"/>
              </w:rPr>
              <w:t>（</w:t>
            </w:r>
            <w:r>
              <w:rPr>
                <w:rFonts w:hint="eastAsia" w:ascii="仿宋_GB2312" w:hAnsi="仿宋_GB2312" w:eastAsia="仿宋_GB2312" w:cs="Calibri"/>
                <w:b/>
                <w:color w:val="auto"/>
                <w:kern w:val="2"/>
                <w:sz w:val="24"/>
                <w:szCs w:val="22"/>
                <w:highlight w:val="none"/>
              </w:rPr>
              <w:t>人</w:t>
            </w:r>
            <w:r>
              <w:rPr>
                <w:rFonts w:hint="eastAsia" w:ascii="仿宋_GB2312" w:hAnsi="仿宋_GB2312" w:cs="Calibri"/>
                <w:b/>
                <w:color w:val="auto"/>
                <w:kern w:val="2"/>
                <w:sz w:val="24"/>
                <w:szCs w:val="22"/>
                <w:highlight w:val="none"/>
                <w:lang w:eastAsia="zh-CN"/>
              </w:rPr>
              <w:t>）</w:t>
            </w:r>
          </w:p>
        </w:tc>
        <w:tc>
          <w:tcPr>
            <w:tcW w:w="241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Calibri" w:hAnsi="Calibri" w:eastAsia="仿宋_GB2312" w:cs="Calibri"/>
                <w:b/>
                <w:color w:val="auto"/>
                <w:kern w:val="2"/>
                <w:sz w:val="24"/>
                <w:szCs w:val="22"/>
                <w:highlight w:val="none"/>
                <w:lang w:eastAsia="zh-CN"/>
              </w:rPr>
            </w:pPr>
            <w:r>
              <w:rPr>
                <w:rFonts w:hint="eastAsia" w:ascii="仿宋_GB2312" w:hAnsi="仿宋_GB2312" w:eastAsia="仿宋_GB2312" w:cs="Calibri"/>
                <w:b/>
                <w:color w:val="auto"/>
                <w:kern w:val="2"/>
                <w:sz w:val="24"/>
                <w:szCs w:val="22"/>
                <w:highlight w:val="none"/>
              </w:rPr>
              <w:t>1-9</w:t>
            </w:r>
            <w:r>
              <w:rPr>
                <w:rFonts w:hint="eastAsia" w:ascii="仿宋_GB2312" w:hAnsi="仿宋_GB2312" w:cs="Calibri"/>
                <w:b/>
                <w:color w:val="auto"/>
                <w:kern w:val="2"/>
                <w:sz w:val="24"/>
                <w:szCs w:val="22"/>
                <w:highlight w:val="none"/>
                <w:lang w:eastAsia="zh-CN"/>
              </w:rPr>
              <w:t>（</w:t>
            </w:r>
            <w:r>
              <w:rPr>
                <w:rFonts w:hint="eastAsia" w:ascii="仿宋_GB2312" w:hAnsi="仿宋_GB2312" w:eastAsia="仿宋_GB2312" w:cs="Calibri"/>
                <w:b/>
                <w:color w:val="auto"/>
                <w:kern w:val="2"/>
                <w:sz w:val="24"/>
                <w:szCs w:val="22"/>
                <w:highlight w:val="none"/>
              </w:rPr>
              <w:t>人</w:t>
            </w:r>
            <w:r>
              <w:rPr>
                <w:rFonts w:hint="eastAsia" w:ascii="仿宋_GB2312" w:hAnsi="仿宋_GB2312" w:cs="Calibri"/>
                <w:b/>
                <w:color w:val="auto"/>
                <w:kern w:val="2"/>
                <w:sz w:val="24"/>
                <w:szCs w:val="22"/>
                <w:highlight w:val="none"/>
                <w:lang w:eastAsia="zh-CN"/>
              </w:rPr>
              <w:t>）</w:t>
            </w:r>
          </w:p>
        </w:tc>
        <w:tc>
          <w:tcPr>
            <w:tcW w:w="314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b/>
                <w:color w:val="auto"/>
                <w:kern w:val="2"/>
                <w:sz w:val="24"/>
                <w:szCs w:val="22"/>
                <w:highlight w:val="none"/>
              </w:rPr>
            </w:pPr>
            <w:r>
              <w:rPr>
                <w:rFonts w:hint="eastAsia" w:ascii="仿宋_GB2312" w:hAnsi="仿宋_GB2312" w:eastAsia="仿宋_GB2312" w:cs="Calibri"/>
                <w:b/>
                <w:color w:val="auto"/>
                <w:kern w:val="2"/>
                <w:sz w:val="24"/>
                <w:szCs w:val="22"/>
                <w:highlight w:val="none"/>
              </w:rPr>
              <w:t>1 公顷以下</w:t>
            </w:r>
          </w:p>
        </w:tc>
      </w:tr>
    </w:tbl>
    <w:p>
      <w:pPr>
        <w:pStyle w:val="4"/>
        <w:kinsoku w:val="0"/>
        <w:overflowPunct w:val="0"/>
        <w:spacing w:before="0"/>
        <w:ind w:left="0" w:firstLine="240" w:firstLineChars="100"/>
        <w:outlineLvl w:val="9"/>
        <w:rPr>
          <w:rFonts w:hint="eastAsia" w:ascii="宋体" w:hAnsi="宋体" w:eastAsia="宋体"/>
          <w:color w:val="auto"/>
          <w:sz w:val="24"/>
          <w:highlight w:val="none"/>
        </w:rPr>
      </w:pPr>
      <w:r>
        <w:rPr>
          <w:rFonts w:hint="eastAsia" w:ascii="宋体" w:hAnsi="宋体" w:eastAsia="宋体"/>
          <w:color w:val="auto"/>
          <w:sz w:val="24"/>
          <w:highlight w:val="none"/>
        </w:rPr>
        <w:t>〔注：依据《海南省森林火灾应急预案》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琼府办</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2013</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155号）制表。〕</w:t>
      </w:r>
    </w:p>
    <w:p>
      <w:pPr>
        <w:bidi w:val="0"/>
        <w:ind w:firstLine="640" w:firstLineChars="200"/>
        <w:rPr>
          <w:rFonts w:hint="eastAsia" w:ascii="楷体_GB2312" w:hAnsi="楷体_GB2312" w:eastAsia="楷体_GB2312" w:cs="楷体_GB2312"/>
          <w:sz w:val="32"/>
          <w:szCs w:val="32"/>
          <w:highlight w:val="none"/>
          <w:lang w:eastAsia="zh-CN"/>
        </w:rPr>
      </w:pPr>
      <w:bookmarkStart w:id="1075" w:name="_Toc30707_WPSOffice_Level2"/>
      <w:r>
        <w:rPr>
          <w:rFonts w:hint="eastAsia" w:ascii="楷体_GB2312" w:hAnsi="楷体_GB2312" w:eastAsia="楷体_GB2312" w:cs="楷体_GB2312"/>
          <w:sz w:val="32"/>
          <w:szCs w:val="32"/>
          <w:highlight w:val="none"/>
          <w:lang w:eastAsia="zh-CN"/>
        </w:rPr>
        <w:t>（六）气象灾害</w:t>
      </w:r>
      <w:bookmarkEnd w:id="1075"/>
    </w:p>
    <w:tbl>
      <w:tblPr>
        <w:tblStyle w:val="10"/>
        <w:tblW w:w="917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11"/>
        <w:gridCol w:w="3861"/>
        <w:gridCol w:w="3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exact"/>
          <w:jc w:val="center"/>
        </w:trPr>
        <w:tc>
          <w:tcPr>
            <w:tcW w:w="2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4"/>
                <w:highlight w:val="none"/>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r>
              <w:rPr>
                <w:rFonts w:hint="eastAsia" w:ascii="宋体" w:hAnsi="宋体" w:eastAsia="宋体" w:cs="Calibri"/>
                <w:b/>
                <w:color w:val="auto"/>
                <w:kern w:val="2"/>
                <w:sz w:val="24"/>
                <w:szCs w:val="24"/>
                <w:highlight w:val="none"/>
              </w:rPr>
              <w:t>气象灾害标准</w:t>
            </w:r>
          </w:p>
        </w:tc>
        <w:tc>
          <w:tcPr>
            <w:tcW w:w="3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Times New Roman" w:hAnsi="Times New Roman" w:eastAsia="宋体" w:cs="Calibri"/>
                <w:color w:val="auto"/>
                <w:kern w:val="2"/>
                <w:sz w:val="24"/>
                <w:szCs w:val="24"/>
                <w:highlight w:val="none"/>
                <w:lang w:eastAsia="zh-CN"/>
              </w:rPr>
            </w:pPr>
            <w:r>
              <w:rPr>
                <w:rFonts w:hint="eastAsia" w:ascii="宋体" w:hAnsi="宋体" w:eastAsia="宋体" w:cs="Calibri"/>
                <w:b/>
                <w:color w:val="auto"/>
                <w:kern w:val="2"/>
                <w:sz w:val="24"/>
                <w:szCs w:val="24"/>
                <w:highlight w:val="none"/>
              </w:rPr>
              <w:t>因台风、大风、龙卷风、暴雨、冰雹等造成</w:t>
            </w:r>
            <w:r>
              <w:rPr>
                <w:rFonts w:hint="eastAsia" w:ascii="宋体" w:hAnsi="宋体" w:eastAsia="宋体" w:cs="Calibri"/>
                <w:b/>
                <w:color w:val="auto"/>
                <w:kern w:val="2"/>
                <w:sz w:val="24"/>
                <w:szCs w:val="24"/>
                <w:highlight w:val="none"/>
                <w:lang w:eastAsia="zh-CN"/>
              </w:rPr>
              <w:t>：</w:t>
            </w:r>
          </w:p>
        </w:tc>
        <w:tc>
          <w:tcPr>
            <w:tcW w:w="32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Times New Roman" w:hAnsi="Times New Roman" w:eastAsia="宋体" w:cs="Calibri"/>
                <w:color w:val="auto"/>
                <w:kern w:val="2"/>
                <w:sz w:val="24"/>
                <w:szCs w:val="24"/>
                <w:highlight w:val="none"/>
                <w:lang w:eastAsia="zh-CN"/>
              </w:rPr>
            </w:pPr>
            <w:r>
              <w:rPr>
                <w:rFonts w:hint="eastAsia" w:ascii="宋体" w:hAnsi="宋体" w:eastAsia="宋体" w:cs="Calibri"/>
                <w:b/>
                <w:color w:val="auto"/>
                <w:kern w:val="2"/>
                <w:sz w:val="24"/>
                <w:szCs w:val="24"/>
                <w:highlight w:val="none"/>
              </w:rPr>
              <w:t>因各种气象原因造成</w:t>
            </w:r>
            <w:r>
              <w:rPr>
                <w:rFonts w:hint="eastAsia" w:ascii="宋体" w:hAnsi="宋体" w:eastAsia="宋体" w:cs="Calibri"/>
                <w:b/>
                <w:color w:val="auto"/>
                <w:kern w:val="2"/>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3" w:hRule="exact"/>
          <w:jc w:val="center"/>
        </w:trPr>
        <w:tc>
          <w:tcPr>
            <w:tcW w:w="2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r>
              <w:rPr>
                <w:rFonts w:hint="eastAsia" w:ascii="宋体" w:hAnsi="宋体" w:eastAsia="宋体" w:cs="Calibri"/>
                <w:b/>
                <w:color w:val="auto"/>
                <w:kern w:val="2"/>
                <w:sz w:val="24"/>
                <w:szCs w:val="24"/>
                <w:highlight w:val="none"/>
              </w:rPr>
              <w:t xml:space="preserve">重 </w:t>
            </w:r>
            <w:r>
              <w:rPr>
                <w:rFonts w:hint="eastAsia" w:ascii="宋体" w:hAnsi="宋体" w:cs="Calibri"/>
                <w:b/>
                <w:color w:val="auto"/>
                <w:kern w:val="2"/>
                <w:sz w:val="24"/>
                <w:szCs w:val="24"/>
                <w:highlight w:val="none"/>
                <w:lang w:val="en-US" w:eastAsia="zh-CN"/>
              </w:rPr>
              <w:t xml:space="preserve"> </w:t>
            </w:r>
            <w:r>
              <w:rPr>
                <w:rFonts w:hint="eastAsia" w:ascii="宋体" w:hAnsi="宋体" w:eastAsia="宋体" w:cs="Calibri"/>
                <w:b/>
                <w:color w:val="auto"/>
                <w:kern w:val="2"/>
                <w:sz w:val="24"/>
                <w:szCs w:val="24"/>
                <w:highlight w:val="none"/>
              </w:rPr>
              <w:t>大</w:t>
            </w:r>
          </w:p>
        </w:tc>
        <w:tc>
          <w:tcPr>
            <w:tcW w:w="3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r>
              <w:rPr>
                <w:rFonts w:hint="eastAsia" w:ascii="仿宋_GB2312" w:hAnsi="仿宋_GB2312" w:eastAsia="仿宋_GB2312" w:cs="Calibri"/>
                <w:color w:val="auto"/>
                <w:kern w:val="2"/>
                <w:sz w:val="24"/>
                <w:szCs w:val="24"/>
                <w:highlight w:val="none"/>
              </w:rPr>
              <w:t>10-29人死亡；或1千万-5千万元经济损失。</w:t>
            </w:r>
          </w:p>
        </w:tc>
        <w:tc>
          <w:tcPr>
            <w:tcW w:w="32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r>
              <w:rPr>
                <w:rFonts w:hint="eastAsia" w:ascii="仿宋_GB2312" w:hAnsi="仿宋_GB2312" w:eastAsia="仿宋_GB2312" w:cs="Calibri"/>
                <w:color w:val="auto"/>
                <w:kern w:val="2"/>
                <w:sz w:val="24"/>
                <w:szCs w:val="24"/>
                <w:highlight w:val="none"/>
              </w:rPr>
              <w:t>机场、港口、高速公路线封闭12小时</w:t>
            </w:r>
            <w:r>
              <w:rPr>
                <w:rFonts w:hint="eastAsia" w:ascii="仿宋_GB2312" w:hAnsi="仿宋_GB2312" w:cs="Calibri"/>
                <w:color w:val="auto"/>
                <w:kern w:val="2"/>
                <w:sz w:val="24"/>
                <w:szCs w:val="24"/>
                <w:highlight w:val="none"/>
                <w:lang w:eastAsia="zh-CN"/>
              </w:rPr>
              <w:t>（</w:t>
            </w:r>
            <w:r>
              <w:rPr>
                <w:rFonts w:hint="eastAsia" w:ascii="仿宋_GB2312" w:hAnsi="仿宋_GB2312" w:eastAsia="仿宋_GB2312" w:cs="Calibri"/>
                <w:color w:val="auto"/>
                <w:kern w:val="2"/>
                <w:sz w:val="24"/>
                <w:szCs w:val="24"/>
                <w:highlight w:val="none"/>
              </w:rPr>
              <w:t>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exact"/>
          <w:jc w:val="center"/>
        </w:trPr>
        <w:tc>
          <w:tcPr>
            <w:tcW w:w="2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r>
              <w:rPr>
                <w:rFonts w:hint="eastAsia" w:ascii="宋体" w:hAnsi="宋体" w:eastAsia="宋体" w:cs="Calibri"/>
                <w:b/>
                <w:color w:val="auto"/>
                <w:kern w:val="2"/>
                <w:sz w:val="24"/>
                <w:szCs w:val="24"/>
                <w:highlight w:val="none"/>
              </w:rPr>
              <w:t>特别重大</w:t>
            </w:r>
          </w:p>
        </w:tc>
        <w:tc>
          <w:tcPr>
            <w:tcW w:w="386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仿宋_GB2312" w:hAnsi="仿宋_GB2312" w:eastAsia="仿宋_GB2312" w:cs="Calibri"/>
                <w:color w:val="auto"/>
                <w:kern w:val="2"/>
                <w:sz w:val="24"/>
                <w:szCs w:val="24"/>
                <w:highlight w:val="none"/>
              </w:rPr>
            </w:pPr>
            <w:r>
              <w:rPr>
                <w:rFonts w:hint="eastAsia" w:ascii="仿宋_GB2312" w:hAnsi="仿宋_GB2312" w:eastAsia="仿宋_GB2312" w:cs="Calibri"/>
                <w:color w:val="auto"/>
                <w:kern w:val="2"/>
                <w:sz w:val="24"/>
                <w:szCs w:val="24"/>
                <w:highlight w:val="none"/>
              </w:rPr>
              <w:t>死亡30人</w:t>
            </w:r>
            <w:r>
              <w:rPr>
                <w:rFonts w:hint="eastAsia" w:ascii="仿宋_GB2312" w:hAnsi="仿宋_GB2312" w:cs="Calibri"/>
                <w:color w:val="auto"/>
                <w:kern w:val="2"/>
                <w:sz w:val="24"/>
                <w:szCs w:val="24"/>
                <w:highlight w:val="none"/>
                <w:lang w:eastAsia="zh-CN"/>
              </w:rPr>
              <w:t>（</w:t>
            </w:r>
            <w:r>
              <w:rPr>
                <w:rFonts w:hint="eastAsia" w:ascii="仿宋_GB2312" w:hAnsi="仿宋_GB2312" w:eastAsia="仿宋_GB2312" w:cs="Calibri"/>
                <w:color w:val="auto"/>
                <w:kern w:val="2"/>
                <w:sz w:val="24"/>
                <w:szCs w:val="24"/>
                <w:highlight w:val="none"/>
              </w:rPr>
              <w:t>含）以上；</w:t>
            </w:r>
          </w:p>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r>
              <w:rPr>
                <w:rFonts w:hint="eastAsia" w:ascii="仿宋_GB2312" w:hAnsi="仿宋_GB2312" w:eastAsia="仿宋_GB2312" w:cs="Calibri"/>
                <w:color w:val="auto"/>
                <w:kern w:val="2"/>
                <w:sz w:val="24"/>
                <w:szCs w:val="24"/>
                <w:highlight w:val="none"/>
              </w:rPr>
              <w:t>或经济损失5千万以上。</w:t>
            </w:r>
          </w:p>
        </w:tc>
        <w:tc>
          <w:tcPr>
            <w:tcW w:w="32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r>
              <w:rPr>
                <w:rFonts w:hint="eastAsia" w:ascii="仿宋_GB2312" w:hAnsi="仿宋_GB2312" w:eastAsia="仿宋_GB2312" w:cs="Calibri"/>
                <w:color w:val="auto"/>
                <w:kern w:val="2"/>
                <w:sz w:val="24"/>
                <w:szCs w:val="24"/>
                <w:highlight w:val="none"/>
              </w:rPr>
              <w:t>——</w:t>
            </w:r>
          </w:p>
        </w:tc>
      </w:tr>
    </w:tbl>
    <w:p>
      <w:pPr>
        <w:bidi w:val="0"/>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〔注：依据《国家突发公共事件总体应急预案》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国发〔20</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5〕11 号）制表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w:t>
      </w:r>
    </w:p>
    <w:p>
      <w:pPr>
        <w:bidi w:val="0"/>
        <w:ind w:firstLine="640" w:firstLineChars="200"/>
        <w:rPr>
          <w:rFonts w:hint="eastAsia" w:ascii="楷体_GB2312" w:hAnsi="楷体_GB2312" w:eastAsia="楷体_GB2312" w:cs="楷体_GB2312"/>
          <w:sz w:val="32"/>
          <w:szCs w:val="32"/>
          <w:highlight w:val="none"/>
          <w:lang w:val="en-US" w:eastAsia="zh-CN"/>
        </w:rPr>
      </w:pPr>
      <w:bookmarkStart w:id="1076" w:name="_Toc32629_WPSOffice_Level2"/>
      <w:r>
        <w:rPr>
          <w:rFonts w:hint="eastAsia" w:ascii="楷体_GB2312" w:hAnsi="楷体_GB2312" w:eastAsia="楷体_GB2312" w:cs="楷体_GB2312"/>
          <w:sz w:val="32"/>
          <w:szCs w:val="32"/>
          <w:highlight w:val="none"/>
          <w:lang w:val="en-US" w:eastAsia="zh-CN"/>
        </w:rPr>
        <w:t>（七）海洋灾害</w:t>
      </w:r>
      <w:bookmarkEnd w:id="1076"/>
    </w:p>
    <w:tbl>
      <w:tblPr>
        <w:tblStyle w:val="10"/>
        <w:tblW w:w="936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9"/>
        <w:gridCol w:w="3225"/>
        <w:gridCol w:w="4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exact"/>
          <w:jc w:val="center"/>
        </w:trPr>
        <w:tc>
          <w:tcPr>
            <w:tcW w:w="147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4"/>
                <w:highlight w:val="none"/>
              </w:rPr>
            </w:pPr>
            <w:r>
              <w:rPr>
                <w:rFonts w:hint="eastAsia" w:ascii="宋体" w:hAnsi="宋体" w:eastAsia="宋体" w:cs="Calibri"/>
                <w:b/>
                <w:color w:val="auto"/>
                <w:kern w:val="2"/>
                <w:sz w:val="24"/>
                <w:szCs w:val="24"/>
                <w:highlight w:val="none"/>
              </w:rPr>
              <w:t>海洋灾害</w:t>
            </w:r>
          </w:p>
        </w:tc>
        <w:tc>
          <w:tcPr>
            <w:tcW w:w="32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r>
              <w:rPr>
                <w:rFonts w:hint="eastAsia" w:ascii="宋体" w:hAnsi="宋体" w:eastAsia="宋体" w:cs="Calibri"/>
                <w:b/>
                <w:color w:val="auto"/>
                <w:kern w:val="2"/>
                <w:sz w:val="24"/>
                <w:szCs w:val="24"/>
                <w:highlight w:val="none"/>
              </w:rPr>
              <w:t>风暴潮、巨浪、海啸</w:t>
            </w:r>
            <w:r>
              <w:rPr>
                <w:rFonts w:hint="eastAsia" w:ascii="宋体" w:hAnsi="宋体" w:eastAsia="宋体" w:cs="Calibri"/>
                <w:b/>
                <w:color w:val="auto"/>
                <w:kern w:val="2"/>
                <w:sz w:val="24"/>
                <w:szCs w:val="24"/>
                <w:highlight w:val="none"/>
                <w:lang w:eastAsia="zh-CN"/>
              </w:rPr>
              <w:t>、</w:t>
            </w:r>
            <w:r>
              <w:rPr>
                <w:rFonts w:hint="eastAsia" w:ascii="宋体" w:hAnsi="宋体" w:eastAsia="宋体" w:cs="Calibri"/>
                <w:b/>
                <w:color w:val="auto"/>
                <w:kern w:val="2"/>
                <w:sz w:val="24"/>
                <w:szCs w:val="24"/>
                <w:highlight w:val="none"/>
              </w:rPr>
              <w:t>赤潮、海冰等造成：</w:t>
            </w:r>
          </w:p>
        </w:tc>
        <w:tc>
          <w:tcPr>
            <w:tcW w:w="46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r>
              <w:rPr>
                <w:rFonts w:hint="eastAsia" w:ascii="宋体" w:hAnsi="宋体" w:eastAsia="宋体" w:cs="Calibri"/>
                <w:b/>
                <w:color w:val="auto"/>
                <w:kern w:val="2"/>
                <w:sz w:val="24"/>
                <w:szCs w:val="24"/>
                <w:highlight w:val="none"/>
              </w:rPr>
              <w:t>其 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6" w:hRule="exact"/>
          <w:jc w:val="center"/>
        </w:trPr>
        <w:tc>
          <w:tcPr>
            <w:tcW w:w="1479" w:type="dxa"/>
            <w:vMerge w:val="restart"/>
            <w:tcBorders>
              <w:top w:val="single" w:color="000000" w:sz="4" w:space="0"/>
              <w:left w:val="single" w:color="000000" w:sz="4" w:space="0"/>
              <w:bottom w:val="nil"/>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r>
              <w:rPr>
                <w:rFonts w:hint="eastAsia" w:ascii="宋体" w:hAnsi="宋体" w:eastAsia="宋体" w:cs="Calibri"/>
                <w:b/>
                <w:color w:val="auto"/>
                <w:kern w:val="2"/>
                <w:sz w:val="24"/>
                <w:szCs w:val="24"/>
                <w:highlight w:val="none"/>
              </w:rPr>
              <w:t xml:space="preserve">重 </w:t>
            </w:r>
            <w:r>
              <w:rPr>
                <w:rFonts w:hint="eastAsia" w:ascii="宋体" w:hAnsi="宋体" w:cs="Calibri"/>
                <w:b/>
                <w:color w:val="auto"/>
                <w:kern w:val="2"/>
                <w:sz w:val="24"/>
                <w:szCs w:val="24"/>
                <w:highlight w:val="none"/>
                <w:lang w:val="en-US" w:eastAsia="zh-CN"/>
              </w:rPr>
              <w:t xml:space="preserve"> </w:t>
            </w:r>
            <w:r>
              <w:rPr>
                <w:rFonts w:hint="eastAsia" w:ascii="宋体" w:hAnsi="宋体" w:eastAsia="宋体" w:cs="Calibri"/>
                <w:b/>
                <w:color w:val="auto"/>
                <w:kern w:val="2"/>
                <w:sz w:val="24"/>
                <w:szCs w:val="24"/>
                <w:highlight w:val="none"/>
              </w:rPr>
              <w:t>大</w:t>
            </w:r>
          </w:p>
        </w:tc>
        <w:tc>
          <w:tcPr>
            <w:tcW w:w="3225" w:type="dxa"/>
            <w:vMerge w:val="restart"/>
            <w:tcBorders>
              <w:top w:val="single" w:color="000000" w:sz="4" w:space="0"/>
              <w:left w:val="single" w:color="000000" w:sz="4" w:space="0"/>
              <w:bottom w:val="nil"/>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仿宋_GB2312" w:hAnsi="仿宋_GB2312" w:eastAsia="仿宋_GB2312" w:cs="Calibri"/>
                <w:color w:val="auto"/>
                <w:kern w:val="2"/>
                <w:sz w:val="24"/>
                <w:szCs w:val="24"/>
                <w:highlight w:val="none"/>
              </w:rPr>
            </w:pPr>
            <w:r>
              <w:rPr>
                <w:rFonts w:hint="eastAsia" w:ascii="仿宋_GB2312" w:hAnsi="仿宋_GB2312" w:eastAsia="仿宋_GB2312" w:cs="Calibri"/>
                <w:color w:val="auto"/>
                <w:kern w:val="2"/>
                <w:sz w:val="24"/>
                <w:szCs w:val="24"/>
                <w:highlight w:val="none"/>
              </w:rPr>
              <w:t>10-29人死亡；</w:t>
            </w:r>
          </w:p>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r>
              <w:rPr>
                <w:rFonts w:hint="eastAsia" w:ascii="仿宋_GB2312" w:hAnsi="仿宋_GB2312" w:eastAsia="仿宋_GB2312" w:cs="Calibri"/>
                <w:color w:val="auto"/>
                <w:kern w:val="2"/>
                <w:sz w:val="24"/>
                <w:szCs w:val="24"/>
                <w:highlight w:val="none"/>
              </w:rPr>
              <w:t>或1千万-5千万元经济损失。</w:t>
            </w:r>
          </w:p>
        </w:tc>
        <w:tc>
          <w:tcPr>
            <w:tcW w:w="465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r>
              <w:rPr>
                <w:rFonts w:hint="eastAsia" w:ascii="仿宋_GB2312" w:hAnsi="仿宋_GB2312" w:eastAsia="仿宋_GB2312" w:cs="Calibri"/>
                <w:color w:val="auto"/>
                <w:kern w:val="2"/>
                <w:sz w:val="24"/>
                <w:szCs w:val="24"/>
                <w:highlight w:val="none"/>
              </w:rPr>
              <w:t>1</w:t>
            </w:r>
            <w:r>
              <w:rPr>
                <w:rFonts w:hint="eastAsia" w:ascii="仿宋_GB2312" w:hAnsi="仿宋_GB2312" w:eastAsia="仿宋_GB2312" w:cs="Calibri"/>
                <w:color w:val="auto"/>
                <w:kern w:val="2"/>
                <w:sz w:val="24"/>
                <w:szCs w:val="24"/>
                <w:highlight w:val="none"/>
                <w:lang w:val="en-US" w:eastAsia="zh-CN"/>
              </w:rPr>
              <w:t>.</w:t>
            </w:r>
            <w:r>
              <w:rPr>
                <w:rFonts w:hint="eastAsia" w:ascii="仿宋_GB2312" w:hAnsi="仿宋_GB2312" w:eastAsia="仿宋_GB2312" w:cs="Calibri"/>
                <w:color w:val="auto"/>
                <w:kern w:val="2"/>
                <w:sz w:val="24"/>
                <w:szCs w:val="24"/>
                <w:highlight w:val="none"/>
              </w:rPr>
              <w:t>对沿海经济社会和群众生产生活等造成严重影响的海洋灾害。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5" w:hRule="exact"/>
          <w:jc w:val="center"/>
        </w:trPr>
        <w:tc>
          <w:tcPr>
            <w:tcW w:w="1479" w:type="dxa"/>
            <w:vMerge w:val="continue"/>
            <w:tcBorders>
              <w:top w:val="nil"/>
              <w:left w:val="single" w:color="000000" w:sz="4" w:space="0"/>
              <w:bottom w:val="single" w:color="auto" w:sz="4" w:space="0"/>
              <w:right w:val="single" w:color="000000" w:sz="4" w:space="0"/>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p>
        </w:tc>
        <w:tc>
          <w:tcPr>
            <w:tcW w:w="3225" w:type="dxa"/>
            <w:vMerge w:val="continue"/>
            <w:tcBorders>
              <w:top w:val="nil"/>
              <w:left w:val="single" w:color="000000" w:sz="4" w:space="0"/>
              <w:bottom w:val="single" w:color="auto"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p>
        </w:tc>
        <w:tc>
          <w:tcPr>
            <w:tcW w:w="4659" w:type="dxa"/>
            <w:vMerge w:val="restart"/>
            <w:tcBorders>
              <w:top w:val="single" w:color="000000" w:sz="4" w:space="0"/>
              <w:left w:val="single" w:color="000000" w:sz="4" w:space="0"/>
              <w:bottom w:val="single" w:color="auto"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r>
              <w:rPr>
                <w:rFonts w:hint="eastAsia" w:ascii="仿宋_GB2312" w:hAnsi="仿宋_GB2312" w:eastAsia="仿宋_GB2312" w:cs="Calibri"/>
                <w:color w:val="auto"/>
                <w:kern w:val="2"/>
                <w:sz w:val="24"/>
                <w:szCs w:val="24"/>
                <w:highlight w:val="none"/>
                <w:lang w:val="en-US" w:eastAsia="zh-CN"/>
              </w:rPr>
              <w:t>2.</w:t>
            </w:r>
            <w:r>
              <w:rPr>
                <w:rFonts w:hint="eastAsia" w:ascii="仿宋_GB2312" w:hAnsi="仿宋_GB2312" w:eastAsia="仿宋_GB2312" w:cs="Calibri"/>
                <w:color w:val="auto"/>
                <w:kern w:val="2"/>
                <w:sz w:val="24"/>
                <w:szCs w:val="24"/>
                <w:highlight w:val="none"/>
              </w:rPr>
              <w:t>对大型海上工程设施等造成重大损坏</w:t>
            </w:r>
            <w:r>
              <w:rPr>
                <w:rFonts w:hint="eastAsia" w:ascii="仿宋_GB2312" w:hAnsi="仿宋_GB2312" w:eastAsia="仿宋_GB2312" w:cs="Calibri"/>
                <w:color w:val="auto"/>
                <w:kern w:val="2"/>
                <w:sz w:val="24"/>
                <w:szCs w:val="24"/>
                <w:highlight w:val="none"/>
                <w:lang w:eastAsia="zh-CN"/>
              </w:rPr>
              <w:t>，</w:t>
            </w:r>
            <w:r>
              <w:rPr>
                <w:rFonts w:hint="eastAsia" w:ascii="仿宋_GB2312" w:hAnsi="仿宋_GB2312" w:eastAsia="仿宋_GB2312" w:cs="Calibri"/>
                <w:color w:val="auto"/>
                <w:kern w:val="2"/>
                <w:sz w:val="24"/>
                <w:szCs w:val="24"/>
                <w:highlight w:val="none"/>
              </w:rPr>
              <w:t>或严重破坏海洋生态环境的海洋灾害。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3" w:hRule="exact"/>
          <w:jc w:val="center"/>
        </w:trPr>
        <w:tc>
          <w:tcPr>
            <w:tcW w:w="1479" w:type="dxa"/>
            <w:tcBorders>
              <w:top w:val="single" w:color="auto" w:sz="4" w:space="0"/>
              <w:left w:val="single" w:color="auto" w:sz="4" w:space="0"/>
              <w:bottom w:val="single" w:color="auto"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r>
              <w:rPr>
                <w:rFonts w:hint="eastAsia" w:ascii="宋体" w:hAnsi="宋体" w:eastAsia="宋体" w:cs="Calibri"/>
                <w:b/>
                <w:color w:val="auto"/>
                <w:kern w:val="2"/>
                <w:sz w:val="24"/>
                <w:szCs w:val="24"/>
                <w:highlight w:val="none"/>
              </w:rPr>
              <w:t>特别重大</w:t>
            </w:r>
          </w:p>
        </w:tc>
        <w:tc>
          <w:tcPr>
            <w:tcW w:w="3225"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r>
              <w:rPr>
                <w:rFonts w:hint="eastAsia" w:ascii="仿宋_GB2312" w:hAnsi="仿宋_GB2312" w:eastAsia="仿宋_GB2312" w:cs="Calibri"/>
                <w:color w:val="auto"/>
                <w:kern w:val="2"/>
                <w:sz w:val="24"/>
                <w:szCs w:val="24"/>
                <w:highlight w:val="none"/>
              </w:rPr>
              <w:t>死亡30人</w:t>
            </w:r>
            <w:r>
              <w:rPr>
                <w:rFonts w:hint="eastAsia" w:ascii="仿宋_GB2312" w:hAnsi="仿宋_GB2312" w:cs="Calibri"/>
                <w:color w:val="auto"/>
                <w:kern w:val="2"/>
                <w:sz w:val="24"/>
                <w:szCs w:val="24"/>
                <w:highlight w:val="none"/>
                <w:lang w:eastAsia="zh-CN"/>
              </w:rPr>
              <w:t>（</w:t>
            </w:r>
            <w:r>
              <w:rPr>
                <w:rFonts w:hint="eastAsia" w:ascii="仿宋_GB2312" w:hAnsi="仿宋_GB2312" w:eastAsia="仿宋_GB2312" w:cs="Calibri"/>
                <w:color w:val="auto"/>
                <w:kern w:val="2"/>
                <w:sz w:val="24"/>
                <w:szCs w:val="24"/>
                <w:highlight w:val="none"/>
              </w:rPr>
              <w:t>含）以上；或5千万元以上经济损失。</w:t>
            </w:r>
          </w:p>
        </w:tc>
        <w:tc>
          <w:tcPr>
            <w:tcW w:w="4659" w:type="dxa"/>
            <w:tcBorders>
              <w:top w:val="single" w:color="auto" w:sz="4" w:space="0"/>
              <w:left w:val="single" w:color="000000"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4"/>
                <w:highlight w:val="none"/>
              </w:rPr>
            </w:pPr>
            <w:r>
              <w:rPr>
                <w:rFonts w:hint="eastAsia" w:ascii="仿宋_GB2312" w:hAnsi="仿宋_GB2312" w:eastAsia="仿宋_GB2312" w:cs="Calibri"/>
                <w:color w:val="auto"/>
                <w:kern w:val="2"/>
                <w:sz w:val="24"/>
                <w:szCs w:val="24"/>
                <w:highlight w:val="none"/>
                <w:lang w:val="en-US" w:eastAsia="zh-CN"/>
              </w:rPr>
              <w:t>3.</w:t>
            </w:r>
            <w:r>
              <w:rPr>
                <w:rFonts w:hint="eastAsia" w:ascii="仿宋_GB2312" w:hAnsi="仿宋_GB2312" w:eastAsia="仿宋_GB2312" w:cs="Calibri"/>
                <w:color w:val="auto"/>
                <w:kern w:val="2"/>
                <w:sz w:val="24"/>
                <w:szCs w:val="24"/>
                <w:highlight w:val="none"/>
              </w:rPr>
              <w:t>对沿海重要城市或者50平方公里以上较大区域经济社会和群众生产生活等造成特别严重影响的海洋灾害。</w:t>
            </w:r>
          </w:p>
        </w:tc>
      </w:tr>
    </w:tbl>
    <w:p>
      <w:pPr>
        <w:pStyle w:val="4"/>
        <w:widowControl w:val="0"/>
        <w:kinsoku w:val="0"/>
        <w:wordWrap/>
        <w:overflowPunct w:val="0"/>
        <w:adjustRightInd/>
        <w:snapToGrid/>
        <w:spacing w:before="0" w:line="560" w:lineRule="exact"/>
        <w:ind w:left="0" w:leftChars="0" w:firstLine="0" w:firstLineChars="0"/>
        <w:textAlignment w:val="auto"/>
        <w:outlineLvl w:val="9"/>
        <w:rPr>
          <w:rFonts w:hint="eastAsia"/>
          <w:color w:val="auto"/>
          <w:sz w:val="24"/>
          <w:highlight w:val="none"/>
        </w:rPr>
      </w:pPr>
      <w:r>
        <w:rPr>
          <w:rFonts w:hint="eastAsia" w:ascii="宋体" w:hAnsi="宋体" w:eastAsia="宋体"/>
          <w:color w:val="auto"/>
          <w:sz w:val="24"/>
          <w:highlight w:val="none"/>
        </w:rPr>
        <w:t>〔注：依据《国家突发公共事件总体应急预案》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国发</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w:t>
      </w:r>
      <w:r>
        <w:rPr>
          <w:rFonts w:hint="eastAsia" w:ascii="宋体" w:hAnsi="宋体" w:eastAsia="宋体"/>
          <w:color w:val="auto"/>
          <w:sz w:val="24"/>
          <w:highlight w:val="none"/>
          <w:lang w:val="en-US" w:eastAsia="zh-CN"/>
        </w:rPr>
        <w:t>0</w:t>
      </w:r>
      <w:r>
        <w:rPr>
          <w:rFonts w:hint="eastAsia" w:ascii="宋体" w:hAnsi="宋体" w:eastAsia="宋体"/>
          <w:color w:val="auto"/>
          <w:sz w:val="24"/>
          <w:highlight w:val="none"/>
        </w:rPr>
        <w:t>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11号）制表。〕</w:t>
      </w:r>
    </w:p>
    <w:p>
      <w:pPr>
        <w:bidi w:val="0"/>
        <w:ind w:firstLine="640" w:firstLineChars="200"/>
        <w:rPr>
          <w:rFonts w:hint="eastAsia" w:ascii="楷体_GB2312" w:hAnsi="楷体_GB2312" w:eastAsia="楷体_GB2312" w:cs="楷体_GB2312"/>
          <w:sz w:val="32"/>
          <w:szCs w:val="32"/>
          <w:highlight w:val="none"/>
          <w:lang w:eastAsia="zh-CN"/>
        </w:rPr>
      </w:pPr>
      <w:bookmarkStart w:id="1077" w:name="_Toc11472_WPSOffice_Level2"/>
      <w:r>
        <w:rPr>
          <w:rFonts w:hint="eastAsia" w:ascii="楷体_GB2312" w:hAnsi="楷体_GB2312" w:eastAsia="楷体_GB2312" w:cs="楷体_GB2312"/>
          <w:sz w:val="32"/>
          <w:szCs w:val="32"/>
          <w:highlight w:val="none"/>
          <w:lang w:eastAsia="zh-CN"/>
        </w:rPr>
        <w:t>（八）生物灾害</w:t>
      </w:r>
      <w:bookmarkEnd w:id="1077"/>
    </w:p>
    <w:tbl>
      <w:tblPr>
        <w:tblStyle w:val="10"/>
        <w:tblW w:w="88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4"/>
        <w:gridCol w:w="3636"/>
        <w:gridCol w:w="3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9" w:hRule="exact"/>
          <w:jc w:val="center"/>
        </w:trPr>
        <w:tc>
          <w:tcPr>
            <w:tcW w:w="886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8"/>
                <w:szCs w:val="22"/>
                <w:highlight w:val="none"/>
              </w:rPr>
              <w:t>生物灾害标准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5" w:hRule="exact"/>
          <w:jc w:val="center"/>
        </w:trPr>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 xml:space="preserve">重 </w:t>
            </w:r>
            <w:r>
              <w:rPr>
                <w:rFonts w:hint="eastAsia" w:ascii="宋体" w:hAnsi="宋体" w:cs="Calibri"/>
                <w:b/>
                <w:color w:val="auto"/>
                <w:kern w:val="2"/>
                <w:sz w:val="24"/>
                <w:szCs w:val="22"/>
                <w:highlight w:val="none"/>
                <w:lang w:val="en-US" w:eastAsia="zh-CN"/>
              </w:rPr>
              <w:t xml:space="preserve"> </w:t>
            </w:r>
            <w:r>
              <w:rPr>
                <w:rFonts w:hint="eastAsia" w:ascii="宋体" w:hAnsi="宋体" w:eastAsia="宋体" w:cs="Calibri"/>
                <w:b/>
                <w:color w:val="auto"/>
                <w:kern w:val="2"/>
                <w:sz w:val="24"/>
                <w:szCs w:val="22"/>
                <w:highlight w:val="none"/>
              </w:rPr>
              <w:t>大</w:t>
            </w:r>
          </w:p>
        </w:tc>
        <w:tc>
          <w:tcPr>
            <w:tcW w:w="3636" w:type="dxa"/>
            <w:tcBorders>
              <w:top w:val="single" w:color="000000" w:sz="4" w:space="0"/>
              <w:left w:val="single" w:color="000000" w:sz="4" w:space="0"/>
              <w:bottom w:val="nil"/>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4"/>
                <w:szCs w:val="22"/>
                <w:highlight w:val="none"/>
              </w:rPr>
              <w:t>因蝗虫、稻飞虱、水稻螟虫、小麦条锈病、草地螟、草原毛虫、松毛虫、杨树食叶害虫和蛀干类害虫等大面积成灾并造成严重经济损失的生物灾害；</w:t>
            </w:r>
          </w:p>
        </w:tc>
        <w:tc>
          <w:tcPr>
            <w:tcW w:w="33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4"/>
                <w:szCs w:val="22"/>
                <w:highlight w:val="none"/>
              </w:rPr>
              <w:t>新传入我国的有害生物发生、流行，对农业和林业生产等造成严重威胁的生物灾害。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9" w:hRule="exact"/>
          <w:jc w:val="center"/>
        </w:trPr>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b/>
                <w:color w:val="auto"/>
                <w:kern w:val="2"/>
                <w:sz w:val="32"/>
                <w:szCs w:val="22"/>
                <w:highlight w:val="none"/>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特别重大</w:t>
            </w:r>
          </w:p>
        </w:tc>
        <w:tc>
          <w:tcPr>
            <w:tcW w:w="7016"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4"/>
                <w:szCs w:val="22"/>
                <w:highlight w:val="none"/>
              </w:rPr>
              <w:t>在2个以上省</w:t>
            </w:r>
            <w:r>
              <w:rPr>
                <w:rFonts w:hint="eastAsia" w:ascii="仿宋_GB2312" w:hAnsi="仿宋_GB2312" w:cs="Calibri"/>
                <w:color w:val="auto"/>
                <w:kern w:val="2"/>
                <w:sz w:val="24"/>
                <w:szCs w:val="22"/>
                <w:highlight w:val="none"/>
                <w:lang w:eastAsia="zh-CN"/>
              </w:rPr>
              <w:t>（</w:t>
            </w:r>
            <w:r>
              <w:rPr>
                <w:rFonts w:hint="eastAsia" w:ascii="仿宋_GB2312" w:hAnsi="仿宋_GB2312" w:eastAsia="仿宋_GB2312" w:cs="Calibri"/>
                <w:color w:val="auto"/>
                <w:kern w:val="2"/>
                <w:sz w:val="24"/>
                <w:szCs w:val="22"/>
                <w:highlight w:val="none"/>
              </w:rPr>
              <w:t>区、市）病虫鼠草等有害生物暴发流行，或新传入我国的有害生物在2个以上省</w:t>
            </w:r>
            <w:r>
              <w:rPr>
                <w:rFonts w:hint="eastAsia" w:ascii="仿宋_GB2312" w:hAnsi="仿宋_GB2312" w:cs="Calibri"/>
                <w:color w:val="auto"/>
                <w:kern w:val="2"/>
                <w:sz w:val="24"/>
                <w:szCs w:val="22"/>
                <w:highlight w:val="none"/>
                <w:lang w:eastAsia="zh-CN"/>
              </w:rPr>
              <w:t>（</w:t>
            </w:r>
            <w:r>
              <w:rPr>
                <w:rFonts w:hint="eastAsia" w:ascii="仿宋_GB2312" w:hAnsi="仿宋_GB2312" w:eastAsia="仿宋_GB2312" w:cs="Calibri"/>
                <w:color w:val="auto"/>
                <w:kern w:val="2"/>
                <w:sz w:val="24"/>
                <w:szCs w:val="22"/>
                <w:highlight w:val="none"/>
              </w:rPr>
              <w:t>区、市）内发生，或在1个省</w:t>
            </w:r>
            <w:r>
              <w:rPr>
                <w:rFonts w:hint="eastAsia" w:ascii="仿宋_GB2312" w:hAnsi="仿宋_GB2312" w:cs="Calibri"/>
                <w:color w:val="auto"/>
                <w:kern w:val="2"/>
                <w:sz w:val="24"/>
                <w:szCs w:val="22"/>
                <w:highlight w:val="none"/>
                <w:lang w:eastAsia="zh-CN"/>
              </w:rPr>
              <w:t>（</w:t>
            </w:r>
            <w:r>
              <w:rPr>
                <w:rFonts w:hint="eastAsia" w:ascii="仿宋_GB2312" w:hAnsi="仿宋_GB2312" w:eastAsia="仿宋_GB2312" w:cs="Calibri"/>
                <w:color w:val="auto"/>
                <w:kern w:val="2"/>
                <w:sz w:val="24"/>
                <w:szCs w:val="22"/>
                <w:highlight w:val="none"/>
              </w:rPr>
              <w:t>区、市）内2个以上市</w:t>
            </w:r>
            <w:r>
              <w:rPr>
                <w:rFonts w:hint="eastAsia" w:ascii="仿宋_GB2312" w:hAnsi="仿宋_GB2312" w:cs="Calibri"/>
                <w:color w:val="auto"/>
                <w:kern w:val="2"/>
                <w:sz w:val="24"/>
                <w:szCs w:val="22"/>
                <w:highlight w:val="none"/>
                <w:lang w:eastAsia="zh-CN"/>
              </w:rPr>
              <w:t>（</w:t>
            </w:r>
            <w:r>
              <w:rPr>
                <w:rFonts w:hint="eastAsia" w:ascii="仿宋_GB2312" w:hAnsi="仿宋_GB2312" w:eastAsia="仿宋_GB2312" w:cs="Calibri"/>
                <w:color w:val="auto"/>
                <w:kern w:val="2"/>
                <w:sz w:val="24"/>
                <w:szCs w:val="22"/>
                <w:highlight w:val="none"/>
              </w:rPr>
              <w:t>地）发生，对农业和林业造成巨大危害的生物灾害。</w:t>
            </w:r>
          </w:p>
        </w:tc>
      </w:tr>
    </w:tbl>
    <w:p>
      <w:pPr>
        <w:pStyle w:val="4"/>
        <w:widowControl w:val="0"/>
        <w:kinsoku w:val="0"/>
        <w:wordWrap/>
        <w:overflowPunct w:val="0"/>
        <w:adjustRightInd/>
        <w:snapToGrid/>
        <w:spacing w:before="0" w:line="560" w:lineRule="exact"/>
        <w:ind w:left="0" w:leftChars="0" w:firstLine="0" w:firstLineChars="0"/>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〔注：依据《国家突发公共事件总体应急预案》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国发</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w:t>
      </w:r>
      <w:r>
        <w:rPr>
          <w:rFonts w:hint="eastAsia" w:ascii="宋体" w:hAnsi="宋体" w:eastAsia="宋体"/>
          <w:color w:val="auto"/>
          <w:sz w:val="24"/>
          <w:highlight w:val="none"/>
          <w:lang w:val="en-US" w:eastAsia="zh-CN"/>
        </w:rPr>
        <w:t>0</w:t>
      </w:r>
      <w:r>
        <w:rPr>
          <w:rFonts w:hint="eastAsia" w:ascii="宋体" w:hAnsi="宋体" w:eastAsia="宋体"/>
          <w:color w:val="auto"/>
          <w:sz w:val="24"/>
          <w:highlight w:val="none"/>
        </w:rPr>
        <w:t>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11号）制表。〕</w:t>
      </w:r>
    </w:p>
    <w:p>
      <w:pPr>
        <w:bidi w:val="0"/>
        <w:ind w:firstLine="640" w:firstLineChars="200"/>
        <w:rPr>
          <w:rFonts w:hint="eastAsia" w:ascii="黑体" w:hAnsi="黑体" w:eastAsia="黑体" w:cs="黑体"/>
          <w:sz w:val="32"/>
          <w:szCs w:val="32"/>
          <w:highlight w:val="none"/>
          <w:lang w:eastAsia="zh-CN"/>
        </w:rPr>
      </w:pPr>
      <w:bookmarkStart w:id="1078" w:name="_Toc31504_WPSOffice_Level1"/>
      <w:r>
        <w:rPr>
          <w:rFonts w:hint="eastAsia" w:ascii="黑体" w:hAnsi="黑体" w:eastAsia="黑体" w:cs="黑体"/>
          <w:sz w:val="32"/>
          <w:szCs w:val="32"/>
          <w:highlight w:val="none"/>
          <w:lang w:eastAsia="zh-CN"/>
        </w:rPr>
        <w:t>二、事故灾难类</w:t>
      </w:r>
      <w:bookmarkEnd w:id="1078"/>
    </w:p>
    <w:p>
      <w:pPr>
        <w:bidi w:val="0"/>
        <w:ind w:firstLine="640" w:firstLineChars="200"/>
        <w:rPr>
          <w:rFonts w:hint="eastAsia" w:ascii="楷体_GB2312" w:hAnsi="楷体_GB2312" w:eastAsia="楷体_GB2312" w:cs="楷体_GB2312"/>
          <w:sz w:val="32"/>
          <w:szCs w:val="32"/>
          <w:highlight w:val="none"/>
          <w:lang w:eastAsia="zh-CN"/>
        </w:rPr>
      </w:pPr>
      <w:bookmarkStart w:id="1079" w:name="_Toc26509_WPSOffice_Level2"/>
      <w:r>
        <w:rPr>
          <w:rFonts w:hint="eastAsia" w:ascii="楷体_GB2312" w:hAnsi="楷体_GB2312" w:eastAsia="楷体_GB2312" w:cs="楷体_GB2312"/>
          <w:sz w:val="32"/>
          <w:szCs w:val="32"/>
          <w:highlight w:val="none"/>
          <w:lang w:eastAsia="zh-CN"/>
        </w:rPr>
        <w:t>（一）生产安全事故</w:t>
      </w:r>
      <w:bookmarkEnd w:id="1079"/>
    </w:p>
    <w:tbl>
      <w:tblPr>
        <w:tblStyle w:val="10"/>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718"/>
        <w:gridCol w:w="2289"/>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1826"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b/>
                <w:color w:val="auto"/>
                <w:kern w:val="2"/>
                <w:sz w:val="27"/>
                <w:szCs w:val="22"/>
                <w:highlight w:val="none"/>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黑体" w:hAnsi="黑体" w:eastAsia="黑体" w:cs="Calibri"/>
                <w:b/>
                <w:color w:val="auto"/>
                <w:kern w:val="2"/>
                <w:sz w:val="24"/>
                <w:szCs w:val="22"/>
                <w:highlight w:val="none"/>
              </w:rPr>
              <w:t xml:space="preserve">生产安全 </w:t>
            </w:r>
            <w:r>
              <w:rPr>
                <w:rFonts w:hint="eastAsia" w:ascii="黑体" w:hAnsi="黑体" w:eastAsia="黑体" w:cs="Calibri"/>
                <w:b/>
                <w:color w:val="auto"/>
                <w:kern w:val="2"/>
                <w:sz w:val="24"/>
                <w:szCs w:val="22"/>
                <w:highlight w:val="none"/>
                <w:lang w:val="en-US" w:eastAsia="zh-CN"/>
              </w:rPr>
              <w:t xml:space="preserve">   </w:t>
            </w:r>
            <w:r>
              <w:rPr>
                <w:rFonts w:hint="eastAsia" w:ascii="黑体" w:hAnsi="黑体" w:eastAsia="黑体" w:cs="Calibri"/>
                <w:b/>
                <w:color w:val="auto"/>
                <w:kern w:val="2"/>
                <w:sz w:val="24"/>
                <w:szCs w:val="22"/>
                <w:highlight w:val="none"/>
              </w:rPr>
              <w:t>事故等级</w:t>
            </w:r>
          </w:p>
        </w:tc>
        <w:tc>
          <w:tcPr>
            <w:tcW w:w="6994" w:type="dxa"/>
            <w:gridSpan w:val="3"/>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黑体" w:hAnsi="黑体" w:eastAsia="黑体" w:cs="Calibri"/>
                <w:color w:val="auto"/>
                <w:kern w:val="2"/>
                <w:sz w:val="28"/>
                <w:szCs w:val="22"/>
                <w:highlight w:val="none"/>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exact"/>
          <w:jc w:val="center"/>
        </w:trPr>
        <w:tc>
          <w:tcPr>
            <w:tcW w:w="1826"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1718"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华文楷体" w:hAnsi="华文楷体" w:eastAsia="华文楷体" w:cs="Calibri"/>
                <w:color w:val="auto"/>
                <w:kern w:val="2"/>
                <w:sz w:val="24"/>
                <w:szCs w:val="22"/>
                <w:highlight w:val="none"/>
              </w:rPr>
            </w:pPr>
            <w:r>
              <w:rPr>
                <w:rFonts w:hint="eastAsia" w:ascii="华文楷体" w:hAnsi="华文楷体" w:eastAsia="华文楷体" w:cs="Calibri"/>
                <w:color w:val="auto"/>
                <w:kern w:val="2"/>
                <w:sz w:val="24"/>
                <w:szCs w:val="22"/>
                <w:highlight w:val="none"/>
              </w:rPr>
              <w:t>人员死亡</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华文楷体" w:hAnsi="华文楷体" w:eastAsia="华文楷体" w:cs="Calibri"/>
                <w:color w:val="auto"/>
                <w:kern w:val="2"/>
                <w:sz w:val="24"/>
                <w:szCs w:val="22"/>
                <w:highlight w:val="none"/>
              </w:rPr>
            </w:pPr>
            <w:r>
              <w:rPr>
                <w:rFonts w:hint="eastAsia" w:ascii="华文楷体" w:hAnsi="华文楷体" w:eastAsia="华文楷体" w:cs="Calibri"/>
                <w:color w:val="auto"/>
                <w:kern w:val="2"/>
                <w:sz w:val="24"/>
                <w:szCs w:val="22"/>
                <w:highlight w:val="none"/>
                <w:lang w:eastAsia="zh-CN"/>
              </w:rPr>
              <w:t>（</w:t>
            </w:r>
            <w:r>
              <w:rPr>
                <w:rFonts w:hint="eastAsia" w:ascii="华文楷体" w:hAnsi="华文楷体" w:eastAsia="华文楷体" w:cs="Calibri"/>
                <w:color w:val="auto"/>
                <w:kern w:val="2"/>
                <w:sz w:val="24"/>
                <w:szCs w:val="22"/>
                <w:highlight w:val="none"/>
              </w:rPr>
              <w:t>失踪）</w:t>
            </w:r>
          </w:p>
        </w:tc>
        <w:tc>
          <w:tcPr>
            <w:tcW w:w="228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华文楷体" w:hAnsi="华文楷体" w:eastAsia="华文楷体" w:cs="Calibri"/>
                <w:color w:val="auto"/>
                <w:kern w:val="2"/>
                <w:sz w:val="24"/>
                <w:szCs w:val="22"/>
                <w:highlight w:val="none"/>
              </w:rPr>
            </w:pPr>
            <w:r>
              <w:rPr>
                <w:rFonts w:hint="eastAsia" w:ascii="华文楷体" w:hAnsi="华文楷体" w:eastAsia="华文楷体" w:cs="Calibri"/>
                <w:color w:val="auto"/>
                <w:kern w:val="2"/>
                <w:sz w:val="24"/>
                <w:szCs w:val="22"/>
                <w:highlight w:val="none"/>
              </w:rPr>
              <w:t>重伤人数</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华文楷体" w:hAnsi="华文楷体" w:eastAsia="华文楷体" w:cs="Calibri"/>
                <w:color w:val="auto"/>
                <w:kern w:val="2"/>
                <w:sz w:val="24"/>
                <w:szCs w:val="22"/>
                <w:highlight w:val="none"/>
              </w:rPr>
            </w:pPr>
            <w:r>
              <w:rPr>
                <w:rFonts w:hint="eastAsia" w:ascii="华文楷体" w:hAnsi="华文楷体" w:eastAsia="华文楷体" w:cs="Calibri"/>
                <w:color w:val="auto"/>
                <w:kern w:val="2"/>
                <w:sz w:val="24"/>
                <w:szCs w:val="22"/>
                <w:highlight w:val="none"/>
                <w:lang w:eastAsia="zh-CN"/>
              </w:rPr>
              <w:t>（</w:t>
            </w:r>
            <w:r>
              <w:rPr>
                <w:rFonts w:hint="eastAsia" w:ascii="华文楷体" w:hAnsi="华文楷体" w:eastAsia="华文楷体" w:cs="Calibri"/>
                <w:color w:val="auto"/>
                <w:kern w:val="2"/>
                <w:sz w:val="24"/>
                <w:szCs w:val="22"/>
                <w:highlight w:val="none"/>
              </w:rPr>
              <w:t>急性工业中毒）</w:t>
            </w:r>
          </w:p>
        </w:tc>
        <w:tc>
          <w:tcPr>
            <w:tcW w:w="298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华文楷体" w:hAnsi="华文楷体" w:eastAsia="华文楷体" w:cs="Calibri"/>
                <w:color w:val="auto"/>
                <w:kern w:val="2"/>
                <w:sz w:val="24"/>
                <w:szCs w:val="22"/>
                <w:highlight w:val="none"/>
              </w:rPr>
              <w:t>直接经济损失</w:t>
            </w:r>
            <w:r>
              <w:rPr>
                <w:rFonts w:hint="eastAsia" w:ascii="华文楷体" w:hAnsi="华文楷体" w:eastAsia="华文楷体" w:cs="Calibri"/>
                <w:color w:val="auto"/>
                <w:kern w:val="2"/>
                <w:sz w:val="24"/>
                <w:szCs w:val="22"/>
                <w:highlight w:val="none"/>
                <w:lang w:eastAsia="zh-CN"/>
              </w:rPr>
              <w:t>（</w:t>
            </w:r>
            <w:r>
              <w:rPr>
                <w:rFonts w:hint="eastAsia" w:ascii="华文楷体" w:hAnsi="华文楷体" w:eastAsia="华文楷体" w:cs="Calibri"/>
                <w:color w:val="auto"/>
                <w:kern w:val="2"/>
                <w:sz w:val="24"/>
                <w:szCs w:val="2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82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特别重大</w:t>
            </w:r>
          </w:p>
        </w:tc>
        <w:tc>
          <w:tcPr>
            <w:tcW w:w="1718"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30人以上</w:t>
            </w:r>
          </w:p>
        </w:tc>
        <w:tc>
          <w:tcPr>
            <w:tcW w:w="228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100人以上</w:t>
            </w:r>
          </w:p>
        </w:tc>
        <w:tc>
          <w:tcPr>
            <w:tcW w:w="298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1亿以上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exact"/>
          <w:jc w:val="center"/>
        </w:trPr>
        <w:tc>
          <w:tcPr>
            <w:tcW w:w="1826" w:type="dxa"/>
            <w:tcBorders>
              <w:tl2br w:val="nil"/>
              <w:tr2bl w:val="nil"/>
            </w:tcBorders>
            <w:noWrap w:val="0"/>
            <w:vAlign w:val="center"/>
          </w:tcPr>
          <w:p>
            <w:pPr>
              <w:pStyle w:val="12"/>
              <w:widowControl w:val="0"/>
              <w:tabs>
                <w:tab w:val="left" w:pos="1009"/>
              </w:tabs>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重</w:t>
            </w:r>
            <w:r>
              <w:rPr>
                <w:rFonts w:hint="eastAsia" w:ascii="宋体" w:hAnsi="宋体" w:eastAsia="宋体" w:cs="Calibri"/>
                <w:b/>
                <w:color w:val="auto"/>
                <w:kern w:val="2"/>
                <w:sz w:val="24"/>
                <w:szCs w:val="22"/>
                <w:highlight w:val="none"/>
                <w:lang w:val="en-US" w:eastAsia="zh-CN"/>
              </w:rPr>
              <w:t xml:space="preserve"> </w:t>
            </w:r>
            <w:r>
              <w:rPr>
                <w:rFonts w:hint="eastAsia" w:ascii="宋体" w:hAnsi="宋体" w:eastAsia="宋体" w:cs="Calibri"/>
                <w:b/>
                <w:color w:val="auto"/>
                <w:kern w:val="2"/>
                <w:sz w:val="24"/>
                <w:szCs w:val="22"/>
                <w:highlight w:val="none"/>
              </w:rPr>
              <w:t>大</w:t>
            </w:r>
          </w:p>
        </w:tc>
        <w:tc>
          <w:tcPr>
            <w:tcW w:w="1718"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10—29</w:t>
            </w:r>
            <w:r>
              <w:rPr>
                <w:rFonts w:hint="eastAsia" w:ascii="宋体" w:hAnsi="宋体" w:eastAsia="宋体" w:cs="Calibri"/>
                <w:color w:val="auto"/>
                <w:kern w:val="2"/>
                <w:sz w:val="24"/>
                <w:szCs w:val="22"/>
                <w:highlight w:val="none"/>
                <w:lang w:eastAsia="zh-CN"/>
              </w:rPr>
              <w:t>（</w:t>
            </w:r>
            <w:r>
              <w:rPr>
                <w:rFonts w:hint="eastAsia" w:ascii="宋体" w:hAnsi="宋体" w:eastAsia="宋体" w:cs="Calibri"/>
                <w:color w:val="auto"/>
                <w:kern w:val="2"/>
                <w:sz w:val="24"/>
                <w:szCs w:val="22"/>
                <w:highlight w:val="none"/>
              </w:rPr>
              <w:t>人）</w:t>
            </w:r>
          </w:p>
        </w:tc>
        <w:tc>
          <w:tcPr>
            <w:tcW w:w="228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50-99</w:t>
            </w:r>
            <w:r>
              <w:rPr>
                <w:rFonts w:hint="eastAsia" w:ascii="宋体" w:hAnsi="宋体" w:eastAsia="宋体" w:cs="Calibri"/>
                <w:color w:val="auto"/>
                <w:kern w:val="2"/>
                <w:sz w:val="24"/>
                <w:szCs w:val="22"/>
                <w:highlight w:val="none"/>
                <w:lang w:eastAsia="zh-CN"/>
              </w:rPr>
              <w:t>（</w:t>
            </w:r>
            <w:r>
              <w:rPr>
                <w:rFonts w:hint="eastAsia" w:ascii="宋体" w:hAnsi="宋体" w:eastAsia="宋体" w:cs="Calibri"/>
                <w:color w:val="auto"/>
                <w:kern w:val="2"/>
                <w:sz w:val="24"/>
                <w:szCs w:val="22"/>
                <w:highlight w:val="none"/>
              </w:rPr>
              <w:t>人）</w:t>
            </w:r>
          </w:p>
        </w:tc>
        <w:tc>
          <w:tcPr>
            <w:tcW w:w="298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5千万-1亿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182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较 大</w:t>
            </w:r>
          </w:p>
        </w:tc>
        <w:tc>
          <w:tcPr>
            <w:tcW w:w="1718"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3-9</w:t>
            </w:r>
            <w:r>
              <w:rPr>
                <w:rFonts w:hint="eastAsia" w:ascii="宋体" w:hAnsi="宋体" w:eastAsia="宋体" w:cs="Calibri"/>
                <w:color w:val="auto"/>
                <w:kern w:val="2"/>
                <w:sz w:val="24"/>
                <w:szCs w:val="22"/>
                <w:highlight w:val="none"/>
                <w:lang w:eastAsia="zh-CN"/>
              </w:rPr>
              <w:t>（</w:t>
            </w:r>
            <w:r>
              <w:rPr>
                <w:rFonts w:hint="eastAsia" w:ascii="宋体" w:hAnsi="宋体" w:eastAsia="宋体" w:cs="Calibri"/>
                <w:color w:val="auto"/>
                <w:kern w:val="2"/>
                <w:sz w:val="24"/>
                <w:szCs w:val="22"/>
                <w:highlight w:val="none"/>
              </w:rPr>
              <w:t>人）</w:t>
            </w:r>
          </w:p>
        </w:tc>
        <w:tc>
          <w:tcPr>
            <w:tcW w:w="228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10-49</w:t>
            </w:r>
            <w:r>
              <w:rPr>
                <w:rFonts w:hint="eastAsia" w:ascii="宋体" w:hAnsi="宋体" w:eastAsia="宋体" w:cs="Calibri"/>
                <w:color w:val="auto"/>
                <w:kern w:val="2"/>
                <w:sz w:val="24"/>
                <w:szCs w:val="22"/>
                <w:highlight w:val="none"/>
                <w:lang w:eastAsia="zh-CN"/>
              </w:rPr>
              <w:t>（</w:t>
            </w:r>
            <w:r>
              <w:rPr>
                <w:rFonts w:hint="eastAsia" w:ascii="宋体" w:hAnsi="宋体" w:eastAsia="宋体" w:cs="Calibri"/>
                <w:color w:val="auto"/>
                <w:kern w:val="2"/>
                <w:sz w:val="24"/>
                <w:szCs w:val="22"/>
                <w:highlight w:val="none"/>
              </w:rPr>
              <w:t>人）</w:t>
            </w:r>
          </w:p>
        </w:tc>
        <w:tc>
          <w:tcPr>
            <w:tcW w:w="298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1千万-5千万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182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一 般</w:t>
            </w:r>
          </w:p>
        </w:tc>
        <w:tc>
          <w:tcPr>
            <w:tcW w:w="1718"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1-2</w:t>
            </w:r>
            <w:r>
              <w:rPr>
                <w:rFonts w:hint="eastAsia" w:ascii="宋体" w:hAnsi="宋体" w:eastAsia="宋体" w:cs="Calibri"/>
                <w:color w:val="auto"/>
                <w:kern w:val="2"/>
                <w:sz w:val="24"/>
                <w:szCs w:val="22"/>
                <w:highlight w:val="none"/>
                <w:lang w:eastAsia="zh-CN"/>
              </w:rPr>
              <w:t>（</w:t>
            </w:r>
            <w:r>
              <w:rPr>
                <w:rFonts w:hint="eastAsia" w:ascii="宋体" w:hAnsi="宋体" w:eastAsia="宋体" w:cs="Calibri"/>
                <w:color w:val="auto"/>
                <w:kern w:val="2"/>
                <w:sz w:val="24"/>
                <w:szCs w:val="22"/>
                <w:highlight w:val="none"/>
              </w:rPr>
              <w:t>人）</w:t>
            </w:r>
          </w:p>
        </w:tc>
        <w:tc>
          <w:tcPr>
            <w:tcW w:w="228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1-9</w:t>
            </w:r>
            <w:r>
              <w:rPr>
                <w:rFonts w:hint="eastAsia" w:ascii="宋体" w:hAnsi="宋体" w:eastAsia="宋体" w:cs="Calibri"/>
                <w:color w:val="auto"/>
                <w:kern w:val="2"/>
                <w:sz w:val="24"/>
                <w:szCs w:val="22"/>
                <w:highlight w:val="none"/>
                <w:lang w:eastAsia="zh-CN"/>
              </w:rPr>
              <w:t>（</w:t>
            </w:r>
            <w:r>
              <w:rPr>
                <w:rFonts w:hint="eastAsia" w:ascii="宋体" w:hAnsi="宋体" w:eastAsia="宋体" w:cs="Calibri"/>
                <w:color w:val="auto"/>
                <w:kern w:val="2"/>
                <w:sz w:val="24"/>
                <w:szCs w:val="22"/>
                <w:highlight w:val="none"/>
              </w:rPr>
              <w:t>人）</w:t>
            </w:r>
          </w:p>
        </w:tc>
        <w:tc>
          <w:tcPr>
            <w:tcW w:w="298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color w:val="auto"/>
                <w:kern w:val="2"/>
                <w:sz w:val="24"/>
                <w:szCs w:val="22"/>
                <w:highlight w:val="none"/>
              </w:rPr>
              <w:t>1千万以下</w:t>
            </w:r>
          </w:p>
        </w:tc>
      </w:tr>
    </w:tbl>
    <w:p>
      <w:pPr>
        <w:pStyle w:val="4"/>
        <w:widowControl w:val="0"/>
        <w:kinsoku w:val="0"/>
        <w:wordWrap/>
        <w:overflowPunct w:val="0"/>
        <w:adjustRightInd/>
        <w:snapToGrid/>
        <w:spacing w:before="0" w:line="560" w:lineRule="exact"/>
        <w:ind w:left="0" w:leftChars="0" w:firstLine="0" w:firstLineChars="0"/>
        <w:textAlignment w:val="auto"/>
        <w:outlineLvl w:val="9"/>
        <w:rPr>
          <w:rFonts w:hint="eastAsia" w:ascii="楷体" w:hAnsi="楷体" w:eastAsia="楷体"/>
          <w:color w:val="auto"/>
          <w:sz w:val="32"/>
          <w:highlight w:val="none"/>
          <w:lang w:eastAsia="zh-CN"/>
        </w:rPr>
      </w:pPr>
      <w:r>
        <w:rPr>
          <w:rFonts w:hint="eastAsia" w:ascii="宋体" w:hAnsi="宋体" w:eastAsia="宋体"/>
          <w:color w:val="auto"/>
          <w:sz w:val="24"/>
          <w:highlight w:val="none"/>
        </w:rPr>
        <w:t>〔注：省应急办依据《国家安全生产事故灾难应急预案》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2005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39号）《海南省生产安全事故灾难应急预案》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琼府办</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2016</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84 号）制表。〕</w:t>
      </w:r>
    </w:p>
    <w:p>
      <w:pPr>
        <w:pStyle w:val="4"/>
        <w:widowControl w:val="0"/>
        <w:kinsoku w:val="0"/>
        <w:wordWrap/>
        <w:overflowPunct w:val="0"/>
        <w:adjustRightInd/>
        <w:snapToGrid/>
        <w:spacing w:before="0" w:line="560" w:lineRule="exact"/>
        <w:ind w:left="0" w:leftChars="0" w:firstLine="640" w:firstLineChars="200"/>
        <w:textAlignment w:val="auto"/>
        <w:outlineLvl w:val="9"/>
        <w:rPr>
          <w:rFonts w:hint="eastAsia" w:ascii="楷体_GB2312" w:hAnsi="楷体_GB2312" w:eastAsia="楷体_GB2312" w:cs="楷体_GB2312"/>
          <w:b w:val="0"/>
          <w:bCs/>
          <w:color w:val="auto"/>
          <w:sz w:val="32"/>
          <w:szCs w:val="32"/>
          <w:highlight w:val="none"/>
        </w:rPr>
      </w:pPr>
      <w:bookmarkStart w:id="1080" w:name="_Toc17305_WPSOffice_Level2"/>
      <w:r>
        <w:rPr>
          <w:rFonts w:hint="eastAsia" w:ascii="楷体_GB2312" w:hAnsi="楷体_GB2312" w:eastAsia="楷体_GB2312" w:cs="楷体_GB2312"/>
          <w:b w:val="0"/>
          <w:bCs/>
          <w:color w:val="auto"/>
          <w:sz w:val="32"/>
          <w:szCs w:val="32"/>
          <w:highlight w:val="none"/>
          <w:lang w:eastAsia="zh-CN"/>
        </w:rPr>
        <w:t>（二）海上突发事件</w:t>
      </w:r>
      <w:bookmarkEnd w:id="1080"/>
    </w:p>
    <w:tbl>
      <w:tblPr>
        <w:tblStyle w:val="10"/>
        <w:tblW w:w="9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785"/>
        <w:gridCol w:w="1380"/>
        <w:gridCol w:w="1890"/>
        <w:gridCol w:w="1725"/>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color w:val="auto"/>
                <w:kern w:val="2"/>
                <w:sz w:val="24"/>
                <w:szCs w:val="22"/>
                <w:highlight w:val="none"/>
                <w:lang w:eastAsia="zh-CN"/>
              </w:rPr>
            </w:pPr>
            <w:r>
              <w:rPr>
                <w:rFonts w:hint="eastAsia" w:ascii="黑体" w:hAnsi="黑体" w:eastAsia="黑体" w:cs="Calibri"/>
                <w:color w:val="auto"/>
                <w:kern w:val="2"/>
                <w:sz w:val="24"/>
                <w:szCs w:val="22"/>
                <w:highlight w:val="none"/>
                <w:lang w:eastAsia="zh-CN"/>
              </w:rPr>
              <w:t>海上突发事件</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color w:val="auto"/>
                <w:kern w:val="2"/>
                <w:sz w:val="24"/>
                <w:szCs w:val="22"/>
                <w:highlight w:val="none"/>
                <w:lang w:eastAsia="zh-CN"/>
              </w:rPr>
            </w:pPr>
            <w:r>
              <w:rPr>
                <w:rFonts w:hint="eastAsia" w:ascii="黑体" w:hAnsi="黑体" w:eastAsia="黑体" w:cs="Calibri"/>
                <w:color w:val="auto"/>
                <w:kern w:val="2"/>
                <w:sz w:val="24"/>
                <w:szCs w:val="22"/>
                <w:highlight w:val="none"/>
                <w:lang w:eastAsia="zh-CN"/>
              </w:rPr>
              <w:t>死亡人数（含失踪或危及生命安全）</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color w:val="auto"/>
                <w:kern w:val="2"/>
                <w:sz w:val="24"/>
                <w:szCs w:val="22"/>
                <w:highlight w:val="none"/>
                <w:lang w:val="en-US" w:eastAsia="zh-CN"/>
              </w:rPr>
            </w:pPr>
            <w:r>
              <w:rPr>
                <w:rFonts w:hint="eastAsia" w:ascii="黑体" w:hAnsi="黑体" w:eastAsia="黑体" w:cs="Calibri"/>
                <w:color w:val="auto"/>
                <w:kern w:val="2"/>
                <w:sz w:val="24"/>
                <w:szCs w:val="22"/>
                <w:highlight w:val="none"/>
                <w:lang w:eastAsia="zh-CN"/>
              </w:rPr>
              <w:t>民用航空器在海上发生突发事件</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color w:val="auto"/>
                <w:kern w:val="2"/>
                <w:sz w:val="24"/>
                <w:szCs w:val="22"/>
                <w:highlight w:val="none"/>
                <w:lang w:eastAsia="zh-CN"/>
              </w:rPr>
            </w:pPr>
            <w:r>
              <w:rPr>
                <w:rFonts w:hint="eastAsia" w:ascii="黑体" w:hAnsi="黑体" w:eastAsia="黑体" w:cs="Calibri"/>
                <w:color w:val="auto"/>
                <w:kern w:val="2"/>
                <w:sz w:val="24"/>
                <w:szCs w:val="22"/>
                <w:highlight w:val="none"/>
                <w:lang w:eastAsia="zh-CN"/>
              </w:rPr>
              <w:t>非客船、非危化品船发生碰撞、触礁、火灾等对船舶和人命安全造成的威胁</w:t>
            </w:r>
          </w:p>
        </w:tc>
        <w:tc>
          <w:tcPr>
            <w:tcW w:w="172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color w:val="auto"/>
                <w:kern w:val="2"/>
                <w:sz w:val="24"/>
                <w:szCs w:val="22"/>
                <w:highlight w:val="none"/>
                <w:lang w:eastAsia="zh-CN"/>
              </w:rPr>
            </w:pPr>
            <w:r>
              <w:rPr>
                <w:rFonts w:hint="eastAsia" w:ascii="黑体" w:hAnsi="黑体" w:eastAsia="黑体" w:cs="Calibri"/>
                <w:color w:val="auto"/>
                <w:kern w:val="2"/>
                <w:sz w:val="24"/>
                <w:szCs w:val="22"/>
                <w:highlight w:val="none"/>
                <w:lang w:eastAsia="zh-CN"/>
              </w:rPr>
              <w:t>客船、危化品船</w:t>
            </w:r>
          </w:p>
        </w:tc>
        <w:tc>
          <w:tcPr>
            <w:tcW w:w="14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color w:val="auto"/>
                <w:kern w:val="2"/>
                <w:sz w:val="24"/>
                <w:szCs w:val="22"/>
                <w:highlight w:val="none"/>
                <w:lang w:eastAsia="zh-CN"/>
              </w:rPr>
            </w:pPr>
            <w:r>
              <w:rPr>
                <w:rFonts w:hint="eastAsia" w:ascii="黑体" w:hAnsi="黑体" w:eastAsia="黑体" w:cs="Calibri"/>
                <w:color w:val="auto"/>
                <w:kern w:val="2"/>
                <w:sz w:val="24"/>
                <w:szCs w:val="22"/>
                <w:highlight w:val="no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eastAsia="zh-CN"/>
              </w:rPr>
            </w:pPr>
            <w:r>
              <w:rPr>
                <w:rFonts w:hint="eastAsia" w:ascii="宋体" w:hAnsi="宋体" w:eastAsia="宋体" w:cs="Calibri"/>
                <w:b/>
                <w:color w:val="auto"/>
                <w:kern w:val="2"/>
                <w:sz w:val="21"/>
                <w:szCs w:val="22"/>
                <w:highlight w:val="none"/>
                <w:lang w:eastAsia="zh-CN"/>
              </w:rPr>
              <w:t>一级</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30人以上</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载员30人以上</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单船总吨：1万吨以上</w:t>
            </w:r>
          </w:p>
        </w:tc>
        <w:tc>
          <w:tcPr>
            <w:tcW w:w="172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发生非常严重事故危及船舶或人与生命安全</w:t>
            </w:r>
          </w:p>
        </w:tc>
        <w:tc>
          <w:tcPr>
            <w:tcW w:w="14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eastAsia="zh-CN"/>
              </w:rPr>
            </w:pPr>
            <w:r>
              <w:rPr>
                <w:rFonts w:hint="eastAsia" w:ascii="宋体" w:hAnsi="宋体" w:eastAsia="宋体" w:cs="Calibri"/>
                <w:b/>
                <w:color w:val="auto"/>
                <w:kern w:val="2"/>
                <w:sz w:val="21"/>
                <w:szCs w:val="22"/>
                <w:highlight w:val="none"/>
                <w:lang w:eastAsia="zh-CN"/>
              </w:rPr>
              <w:t>二级</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10-30人</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载员30人以下</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总吨：3千-1万吨</w:t>
            </w:r>
          </w:p>
        </w:tc>
        <w:tc>
          <w:tcPr>
            <w:tcW w:w="172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w:t>
            </w:r>
          </w:p>
        </w:tc>
        <w:tc>
          <w:tcPr>
            <w:tcW w:w="143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中国籍海船或有中国籍船员的外轮失踪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eastAsia="zh-CN"/>
              </w:rPr>
            </w:pPr>
            <w:r>
              <w:rPr>
                <w:rFonts w:hint="eastAsia" w:ascii="宋体" w:hAnsi="宋体" w:eastAsia="宋体" w:cs="Calibri"/>
                <w:b/>
                <w:color w:val="auto"/>
                <w:kern w:val="2"/>
                <w:sz w:val="21"/>
                <w:szCs w:val="22"/>
                <w:highlight w:val="none"/>
                <w:lang w:eastAsia="zh-CN"/>
              </w:rPr>
              <w:t>三级</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3-10人</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总吨：5百-3千吨</w:t>
            </w:r>
          </w:p>
        </w:tc>
        <w:tc>
          <w:tcPr>
            <w:tcW w:w="172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w:t>
            </w:r>
          </w:p>
        </w:tc>
        <w:tc>
          <w:tcPr>
            <w:tcW w:w="14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1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eastAsia="zh-CN"/>
              </w:rPr>
            </w:pPr>
            <w:r>
              <w:rPr>
                <w:rFonts w:hint="eastAsia" w:ascii="宋体" w:hAnsi="宋体" w:eastAsia="宋体" w:cs="Calibri"/>
                <w:b/>
                <w:color w:val="auto"/>
                <w:kern w:val="2"/>
                <w:sz w:val="21"/>
                <w:szCs w:val="22"/>
                <w:highlight w:val="none"/>
                <w:lang w:eastAsia="zh-CN"/>
              </w:rPr>
              <w:t>四级</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1-2人</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总吨：5百吨以下</w:t>
            </w:r>
          </w:p>
        </w:tc>
        <w:tc>
          <w:tcPr>
            <w:tcW w:w="172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w:t>
            </w:r>
          </w:p>
        </w:tc>
        <w:tc>
          <w:tcPr>
            <w:tcW w:w="14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color w:val="auto"/>
                <w:kern w:val="2"/>
                <w:sz w:val="21"/>
                <w:szCs w:val="22"/>
                <w:highlight w:val="none"/>
                <w:lang w:val="en-US" w:eastAsia="zh-CN"/>
              </w:rPr>
              <w:t>——</w:t>
            </w:r>
          </w:p>
        </w:tc>
      </w:tr>
    </w:tbl>
    <w:p>
      <w:pPr>
        <w:pStyle w:val="4"/>
        <w:kinsoku w:val="0"/>
        <w:overflowPunct w:val="0"/>
        <w:spacing w:before="0" w:line="400" w:lineRule="exact"/>
        <w:ind w:left="0"/>
        <w:outlineLvl w:val="9"/>
        <w:rPr>
          <w:rFonts w:hint="eastAsia" w:ascii="宋体" w:hAnsi="宋体" w:eastAsia="宋体"/>
          <w:color w:val="auto"/>
          <w:sz w:val="24"/>
          <w:highlight w:val="none"/>
        </w:rPr>
      </w:pPr>
      <w:r>
        <w:rPr>
          <w:rFonts w:hint="eastAsia" w:ascii="宋体" w:hAnsi="宋体" w:eastAsia="宋体"/>
          <w:color w:val="auto"/>
          <w:sz w:val="24"/>
          <w:highlight w:val="none"/>
        </w:rPr>
        <w:t>〔注：依据《国家海上搜救应急预案》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2005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42号）制表。〕</w:t>
      </w:r>
    </w:p>
    <w:p>
      <w:pPr>
        <w:pStyle w:val="4"/>
        <w:kinsoku w:val="0"/>
        <w:overflowPunct w:val="0"/>
        <w:spacing w:before="205"/>
        <w:ind w:left="0" w:leftChars="0" w:firstLine="640" w:firstLineChars="200"/>
        <w:outlineLvl w:val="9"/>
        <w:rPr>
          <w:rFonts w:hint="eastAsia"/>
          <w:b/>
          <w:color w:val="auto"/>
          <w:sz w:val="32"/>
          <w:highlight w:val="none"/>
          <w:lang w:eastAsia="zh-CN"/>
        </w:rPr>
      </w:pPr>
      <w:bookmarkStart w:id="1081" w:name="_Toc9604_WPSOffice_Level2"/>
      <w:r>
        <w:rPr>
          <w:rFonts w:hint="eastAsia" w:ascii="楷体_GB2312" w:hAnsi="楷体_GB2312" w:eastAsia="楷体_GB2312" w:cs="楷体_GB2312"/>
          <w:b w:val="0"/>
          <w:bCs/>
          <w:color w:val="auto"/>
          <w:sz w:val="32"/>
          <w:highlight w:val="none"/>
          <w:lang w:eastAsia="zh-CN"/>
        </w:rPr>
        <w:t>（三）民航飞行事故</w:t>
      </w:r>
      <w:bookmarkEnd w:id="1081"/>
    </w:p>
    <w:tbl>
      <w:tblPr>
        <w:tblStyle w:val="10"/>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7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jc w:val="center"/>
        </w:trPr>
        <w:tc>
          <w:tcPr>
            <w:tcW w:w="18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r>
              <w:rPr>
                <w:rFonts w:hint="eastAsia" w:ascii="黑体" w:hAnsi="黑体" w:eastAsia="黑体" w:cs="Calibri"/>
                <w:color w:val="auto"/>
                <w:kern w:val="2"/>
                <w:sz w:val="24"/>
                <w:szCs w:val="24"/>
                <w:highlight w:val="none"/>
              </w:rPr>
              <w:t>民用航空器飞行事故</w:t>
            </w:r>
          </w:p>
        </w:tc>
        <w:tc>
          <w:tcPr>
            <w:tcW w:w="7592"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4"/>
                <w:highlight w:val="none"/>
              </w:rPr>
            </w:pPr>
            <w:r>
              <w:rPr>
                <w:rFonts w:hint="eastAsia" w:ascii="黑体" w:hAnsi="黑体" w:eastAsia="黑体" w:cs="Calibri"/>
                <w:color w:val="auto"/>
                <w:kern w:val="2"/>
                <w:sz w:val="24"/>
                <w:szCs w:val="24"/>
                <w:highlight w:val="none"/>
              </w:rPr>
              <w:t>适用情况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jc w:val="center"/>
        </w:trPr>
        <w:tc>
          <w:tcPr>
            <w:tcW w:w="1835"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特别重大</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lang w:eastAsia="zh-CN"/>
              </w:rPr>
              <w:t>（</w:t>
            </w:r>
            <w:r>
              <w:rPr>
                <w:rFonts w:hint="eastAsia" w:ascii="宋体" w:hAnsi="宋体" w:eastAsia="宋体" w:cs="Calibri"/>
                <w:color w:val="auto"/>
                <w:kern w:val="2"/>
                <w:sz w:val="24"/>
                <w:szCs w:val="24"/>
                <w:highlight w:val="none"/>
              </w:rPr>
              <w:t>一级响应）</w:t>
            </w:r>
          </w:p>
        </w:tc>
        <w:tc>
          <w:tcPr>
            <w:tcW w:w="7592"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民航器发生爆炸、空中解体、坠机等，造成重要地面设施巨大损失，并对设施使用、环境保护、公众安全、社会稳定等造成巨大影响。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exact"/>
          <w:jc w:val="center"/>
        </w:trPr>
        <w:tc>
          <w:tcPr>
            <w:tcW w:w="1835"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p>
        </w:tc>
        <w:tc>
          <w:tcPr>
            <w:tcW w:w="7592"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民用航空器执行专机任务发生飞行事故。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35"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p>
        </w:tc>
        <w:tc>
          <w:tcPr>
            <w:tcW w:w="7592"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飞行事故死亡人员中有国际、国内重要旅客。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jc w:val="center"/>
        </w:trPr>
        <w:tc>
          <w:tcPr>
            <w:tcW w:w="1835"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p>
        </w:tc>
        <w:tc>
          <w:tcPr>
            <w:tcW w:w="7592"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军用航空器与民航器发生空中相撞。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1835"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p>
        </w:tc>
        <w:tc>
          <w:tcPr>
            <w:tcW w:w="7592"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外国民航器在我国境内发生飞行事故，并造成人员死亡。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jc w:val="center"/>
        </w:trPr>
        <w:tc>
          <w:tcPr>
            <w:tcW w:w="1835"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p>
        </w:tc>
        <w:tc>
          <w:tcPr>
            <w:tcW w:w="7592"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我国民航器在境外发生飞行事故，并造成人员死亡。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exact"/>
          <w:jc w:val="center"/>
        </w:trPr>
        <w:tc>
          <w:tcPr>
            <w:tcW w:w="18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重大</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lang w:eastAsia="zh-CN"/>
              </w:rPr>
              <w:t>（</w:t>
            </w:r>
            <w:r>
              <w:rPr>
                <w:rFonts w:hint="eastAsia" w:ascii="宋体" w:hAnsi="宋体" w:eastAsia="宋体" w:cs="Calibri"/>
                <w:color w:val="auto"/>
                <w:kern w:val="2"/>
                <w:sz w:val="24"/>
                <w:szCs w:val="24"/>
                <w:highlight w:val="none"/>
              </w:rPr>
              <w:t>二级响应）</w:t>
            </w:r>
          </w:p>
        </w:tc>
        <w:tc>
          <w:tcPr>
            <w:tcW w:w="7592"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发生严重的不正常紧急事件，可能导致重大以上飞行事故，或可能对重要地面设施、环境保护、公众安全、社会稳定等造成重大影响或损失。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exact"/>
          <w:jc w:val="center"/>
        </w:trPr>
        <w:tc>
          <w:tcPr>
            <w:tcW w:w="1835"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较大</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lang w:eastAsia="zh-CN"/>
              </w:rPr>
              <w:t>（</w:t>
            </w:r>
            <w:r>
              <w:rPr>
                <w:rFonts w:hint="eastAsia" w:ascii="宋体" w:hAnsi="宋体" w:eastAsia="宋体" w:cs="Calibri"/>
                <w:color w:val="auto"/>
                <w:kern w:val="2"/>
                <w:sz w:val="24"/>
                <w:szCs w:val="24"/>
                <w:highlight w:val="none"/>
              </w:rPr>
              <w:t>三级响应）</w:t>
            </w:r>
          </w:p>
        </w:tc>
        <w:tc>
          <w:tcPr>
            <w:tcW w:w="7592"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发生严重的不正常紧急事件，可能导致较大以上飞行事故，或可能对地面设施、环境保护、公众安全、社会稳定等造成较大影响或损失。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1835"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一 般</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lang w:eastAsia="zh-CN"/>
              </w:rPr>
              <w:t>（</w:t>
            </w:r>
            <w:r>
              <w:rPr>
                <w:rFonts w:hint="eastAsia" w:ascii="宋体" w:hAnsi="宋体" w:eastAsia="宋体" w:cs="Calibri"/>
                <w:color w:val="auto"/>
                <w:kern w:val="2"/>
                <w:sz w:val="24"/>
                <w:szCs w:val="24"/>
                <w:highlight w:val="none"/>
              </w:rPr>
              <w:t>四级响应）</w:t>
            </w:r>
          </w:p>
        </w:tc>
        <w:tc>
          <w:tcPr>
            <w:tcW w:w="7592"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4"/>
                <w:szCs w:val="24"/>
                <w:highlight w:val="none"/>
              </w:rPr>
            </w:pPr>
            <w:r>
              <w:rPr>
                <w:rFonts w:hint="eastAsia" w:ascii="宋体" w:hAnsi="宋体" w:eastAsia="宋体" w:cs="Calibri"/>
                <w:color w:val="auto"/>
                <w:kern w:val="2"/>
                <w:sz w:val="24"/>
                <w:szCs w:val="24"/>
                <w:highlight w:val="none"/>
              </w:rPr>
              <w:t>发生严重的不正常紧急事件，可能导致一般以上飞行事故，或可能对地面</w:t>
            </w:r>
            <w:r>
              <w:rPr>
                <w:rFonts w:hint="eastAsia" w:ascii="宋体" w:hAnsi="宋体" w:eastAsia="宋体" w:cs="Calibri"/>
                <w:color w:val="auto"/>
                <w:kern w:val="2"/>
                <w:sz w:val="24"/>
                <w:szCs w:val="24"/>
                <w:highlight w:val="none"/>
                <w:lang w:eastAsia="zh-CN"/>
              </w:rPr>
              <w:t>设施</w:t>
            </w:r>
            <w:r>
              <w:rPr>
                <w:rFonts w:hint="eastAsia" w:ascii="宋体" w:hAnsi="宋体" w:eastAsia="宋体" w:cs="Calibri"/>
                <w:color w:val="auto"/>
                <w:kern w:val="2"/>
                <w:sz w:val="24"/>
                <w:szCs w:val="24"/>
                <w:highlight w:val="none"/>
              </w:rPr>
              <w:t>、环境保护、公众安全、社会稳定等造成一定影响或损失。</w:t>
            </w:r>
          </w:p>
        </w:tc>
      </w:tr>
    </w:tbl>
    <w:p>
      <w:pPr>
        <w:pStyle w:val="4"/>
        <w:kinsoku w:val="0"/>
        <w:overflowPunct w:val="0"/>
        <w:spacing w:before="0" w:line="400" w:lineRule="exact"/>
        <w:ind w:left="0" w:firstLine="480" w:firstLineChars="200"/>
        <w:outlineLvl w:val="9"/>
        <w:rPr>
          <w:rFonts w:hint="eastAsia" w:ascii="宋体" w:hAnsi="宋体" w:eastAsia="宋体"/>
          <w:color w:val="auto"/>
          <w:sz w:val="24"/>
          <w:highlight w:val="none"/>
          <w:lang w:eastAsia="zh-CN"/>
        </w:rPr>
      </w:pPr>
      <w:r>
        <w:rPr>
          <w:rFonts w:hint="eastAsia" w:ascii="宋体" w:hAnsi="宋体" w:eastAsia="宋体"/>
          <w:color w:val="auto"/>
          <w:sz w:val="24"/>
          <w:highlight w:val="none"/>
        </w:rPr>
        <w:t>〔注：①依据《国家处置民用航空器飞行事故应急预案》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2005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41号）制表。②重要地面设施是指重要铁路、公路、水路、民航等交通设施、居民区、油库、电厂/站、化工厂、核设施、水利设施等</w:t>
      </w:r>
      <w:r>
        <w:rPr>
          <w:rFonts w:hint="eastAsia" w:ascii="宋体" w:hAnsi="宋体" w:eastAsia="宋体"/>
          <w:color w:val="auto"/>
          <w:sz w:val="24"/>
          <w:highlight w:val="none"/>
          <w:lang w:eastAsia="zh-CN"/>
        </w:rPr>
        <w:t>。</w:t>
      </w:r>
    </w:p>
    <w:p>
      <w:pPr>
        <w:numPr>
          <w:ilvl w:val="0"/>
          <w:numId w:val="0"/>
        </w:numPr>
        <w:kinsoku w:val="0"/>
        <w:overflowPunct w:val="0"/>
        <w:spacing w:before="1"/>
        <w:ind w:firstLine="640" w:firstLineChars="200"/>
        <w:outlineLvl w:val="9"/>
        <w:rPr>
          <w:rFonts w:hint="eastAsia" w:ascii="楷体_GB2312" w:hAnsi="楷体_GB2312" w:eastAsia="楷体_GB2312" w:cs="楷体_GB2312"/>
          <w:b w:val="0"/>
          <w:bCs w:val="0"/>
          <w:color w:val="auto"/>
          <w:sz w:val="32"/>
          <w:highlight w:val="none"/>
          <w:lang w:eastAsia="zh-CN"/>
        </w:rPr>
      </w:pPr>
      <w:bookmarkStart w:id="1082" w:name="_Toc16130_WPSOffice_Level2"/>
      <w:r>
        <w:rPr>
          <w:rFonts w:hint="eastAsia" w:ascii="楷体_GB2312" w:hAnsi="楷体_GB2312" w:eastAsia="楷体_GB2312" w:cs="楷体_GB2312"/>
          <w:b w:val="0"/>
          <w:bCs w:val="0"/>
          <w:color w:val="auto"/>
          <w:sz w:val="32"/>
          <w:highlight w:val="none"/>
          <w:lang w:eastAsia="zh-CN"/>
        </w:rPr>
        <w:t>（四）大面积停电事件</w:t>
      </w:r>
      <w:bookmarkEnd w:id="1082"/>
    </w:p>
    <w:tbl>
      <w:tblPr>
        <w:tblStyle w:val="10"/>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2325"/>
        <w:gridCol w:w="2126"/>
        <w:gridCol w:w="189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大面积停电事件</w:t>
            </w:r>
          </w:p>
        </w:tc>
        <w:tc>
          <w:tcPr>
            <w:tcW w:w="232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省、自治区电网</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减供负荷）</w:t>
            </w:r>
          </w:p>
        </w:tc>
        <w:tc>
          <w:tcPr>
            <w:tcW w:w="2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省会城市</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省</w:t>
            </w:r>
            <w:r>
              <w:rPr>
                <w:rFonts w:hint="default" w:ascii="Calibri" w:hAnsi="Calibri" w:eastAsia="Calibri" w:cs="Calibri"/>
                <w:b/>
                <w:color w:val="auto"/>
                <w:kern w:val="2"/>
                <w:sz w:val="24"/>
                <w:szCs w:val="22"/>
                <w:highlight w:val="none"/>
              </w:rPr>
              <w:t>/</w:t>
            </w:r>
            <w:r>
              <w:rPr>
                <w:rFonts w:hint="eastAsia" w:ascii="宋体" w:hAnsi="宋体" w:eastAsia="宋体" w:cs="Calibri"/>
                <w:b/>
                <w:color w:val="auto"/>
                <w:kern w:val="2"/>
                <w:sz w:val="24"/>
                <w:szCs w:val="22"/>
                <w:highlight w:val="none"/>
              </w:rPr>
              <w:t>区）电网</w:t>
            </w: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减供负荷）</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4"/>
                <w:szCs w:val="22"/>
                <w:highlight w:val="none"/>
              </w:rPr>
            </w:pPr>
            <w:r>
              <w:rPr>
                <w:rFonts w:hint="eastAsia" w:ascii="宋体" w:hAnsi="宋体" w:eastAsia="宋体" w:cs="Calibri"/>
                <w:b/>
                <w:color w:val="auto"/>
                <w:kern w:val="2"/>
                <w:sz w:val="24"/>
                <w:szCs w:val="22"/>
                <w:highlight w:val="none"/>
              </w:rPr>
              <w:t>地级市</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设区）电网</w:t>
            </w: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减供负荷）</w:t>
            </w:r>
          </w:p>
        </w:tc>
        <w:tc>
          <w:tcPr>
            <w:tcW w:w="192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4"/>
                <w:szCs w:val="22"/>
                <w:highlight w:val="none"/>
              </w:rPr>
            </w:pPr>
            <w:r>
              <w:rPr>
                <w:rFonts w:hint="eastAsia" w:ascii="宋体" w:hAnsi="宋体" w:eastAsia="宋体" w:cs="Calibri"/>
                <w:b/>
                <w:color w:val="auto"/>
                <w:kern w:val="2"/>
                <w:sz w:val="24"/>
                <w:szCs w:val="22"/>
                <w:highlight w:val="none"/>
              </w:rPr>
              <w:t>县级市电网</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lang w:eastAsia="zh-CN"/>
              </w:rPr>
              <w:t>（</w:t>
            </w:r>
            <w:r>
              <w:rPr>
                <w:rFonts w:hint="eastAsia" w:ascii="宋体" w:hAnsi="宋体" w:eastAsia="宋体" w:cs="Calibri"/>
                <w:b/>
                <w:color w:val="auto"/>
                <w:kern w:val="2"/>
                <w:sz w:val="24"/>
                <w:szCs w:val="22"/>
                <w:highlight w:val="none"/>
              </w:rPr>
              <w:t>减供负荷）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b/>
                <w:color w:val="auto"/>
                <w:kern w:val="2"/>
                <w:sz w:val="24"/>
                <w:szCs w:val="22"/>
                <w:highlight w:val="none"/>
              </w:rPr>
              <w:t>特大</w:t>
            </w:r>
          </w:p>
        </w:tc>
        <w:tc>
          <w:tcPr>
            <w:tcW w:w="2325"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负荷≥20000兆瓦：30%以上；负荷5000—20000兆瓦</w:t>
            </w:r>
            <w:r>
              <w:rPr>
                <w:rFonts w:hint="eastAsia" w:ascii="楷体_GB2312" w:hAnsi="楷体_GB2312" w:eastAsia="楷体_GB2312" w:cs="Calibri"/>
                <w:color w:val="auto"/>
                <w:kern w:val="2"/>
                <w:sz w:val="24"/>
                <w:szCs w:val="22"/>
                <w:highlight w:val="none"/>
                <w:lang w:eastAsia="zh-CN"/>
              </w:rPr>
              <w:t>：</w:t>
            </w:r>
            <w:r>
              <w:rPr>
                <w:rFonts w:hint="eastAsia" w:ascii="楷体_GB2312" w:hAnsi="楷体_GB2312" w:eastAsia="楷体_GB2312" w:cs="Calibri"/>
                <w:color w:val="auto"/>
                <w:kern w:val="2"/>
                <w:sz w:val="24"/>
                <w:szCs w:val="22"/>
                <w:highlight w:val="none"/>
              </w:rPr>
              <w:t>40%以上。</w:t>
            </w:r>
          </w:p>
        </w:tc>
        <w:tc>
          <w:tcPr>
            <w:tcW w:w="212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负荷≥2000兆瓦：减负60%以上；或70%以上供电用户停电。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w:t>
            </w:r>
          </w:p>
        </w:tc>
        <w:tc>
          <w:tcPr>
            <w:tcW w:w="192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b/>
                <w:color w:val="auto"/>
                <w:kern w:val="2"/>
                <w:sz w:val="24"/>
                <w:szCs w:val="22"/>
                <w:highlight w:val="none"/>
              </w:rPr>
              <w:t>重大</w:t>
            </w:r>
          </w:p>
        </w:tc>
        <w:tc>
          <w:tcPr>
            <w:tcW w:w="2325"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负荷≥20000兆瓦：13%—30%；负荷5000—20000兆瓦：16%—40%；负荷1000—5000兆瓦：50%以上。</w:t>
            </w:r>
          </w:p>
        </w:tc>
        <w:tc>
          <w:tcPr>
            <w:tcW w:w="212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负荷≥2000兆瓦：40—60%，或50—70%供电用户停电；负荷＜2000兆瓦：减负40%以上，或50%以上供电用户停电。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负荷≥600兆瓦：减负60%以上，或70%以上供电用户停电。</w:t>
            </w:r>
          </w:p>
        </w:tc>
        <w:tc>
          <w:tcPr>
            <w:tcW w:w="192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b/>
                <w:color w:val="auto"/>
                <w:kern w:val="2"/>
                <w:sz w:val="24"/>
                <w:szCs w:val="22"/>
                <w:highlight w:val="none"/>
              </w:rPr>
              <w:t>较大</w:t>
            </w:r>
          </w:p>
        </w:tc>
        <w:tc>
          <w:tcPr>
            <w:tcW w:w="232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负荷≥20000兆瓦：10%—13%；负荷5000—20000兆瓦：减负12%—16%；负荷1000—5000兆瓦：20%—50%；负荷＜1000兆瓦：40% 以上。</w:t>
            </w:r>
          </w:p>
        </w:tc>
        <w:tc>
          <w:tcPr>
            <w:tcW w:w="2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减供负荷20—40%，或30—50%供电用户停电。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负荷≥600兆瓦：减负40—60%，或50—70%供电用户停电；负荷＜600兆瓦：减负40%以上</w:t>
            </w:r>
            <w:r>
              <w:rPr>
                <w:rFonts w:hint="eastAsia" w:ascii="楷体_GB2312" w:hAnsi="楷体_GB2312" w:eastAsia="楷体_GB2312" w:cs="Calibri"/>
                <w:color w:val="auto"/>
                <w:kern w:val="2"/>
                <w:sz w:val="24"/>
                <w:szCs w:val="22"/>
                <w:highlight w:val="none"/>
                <w:lang w:eastAsia="zh-CN"/>
              </w:rPr>
              <w:t>，</w:t>
            </w:r>
            <w:r>
              <w:rPr>
                <w:rFonts w:hint="eastAsia" w:ascii="楷体_GB2312" w:hAnsi="楷体_GB2312" w:eastAsia="楷体_GB2312" w:cs="Calibri"/>
                <w:color w:val="auto"/>
                <w:kern w:val="2"/>
                <w:sz w:val="24"/>
                <w:szCs w:val="22"/>
                <w:highlight w:val="none"/>
              </w:rPr>
              <w:t>或50%以上供电用户停电。</w:t>
            </w:r>
          </w:p>
        </w:tc>
        <w:tc>
          <w:tcPr>
            <w:tcW w:w="192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负荷≥150兆瓦：减供负荷60%以上</w:t>
            </w:r>
            <w:r>
              <w:rPr>
                <w:rFonts w:hint="eastAsia" w:ascii="楷体_GB2312" w:hAnsi="楷体_GB2312" w:eastAsia="楷体_GB2312" w:cs="Calibri"/>
                <w:color w:val="auto"/>
                <w:kern w:val="2"/>
                <w:sz w:val="24"/>
                <w:szCs w:val="22"/>
                <w:highlight w:val="none"/>
                <w:lang w:eastAsia="zh-CN"/>
              </w:rPr>
              <w:t>，</w:t>
            </w:r>
            <w:r>
              <w:rPr>
                <w:rFonts w:hint="eastAsia" w:ascii="楷体_GB2312" w:hAnsi="楷体_GB2312" w:eastAsia="楷体_GB2312" w:cs="Calibri"/>
                <w:color w:val="auto"/>
                <w:kern w:val="2"/>
                <w:sz w:val="24"/>
                <w:szCs w:val="22"/>
                <w:highlight w:val="none"/>
              </w:rPr>
              <w:t>或70%以上供电用户停电。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8" w:hRule="exact"/>
          <w:jc w:val="center"/>
        </w:trPr>
        <w:tc>
          <w:tcPr>
            <w:tcW w:w="119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b/>
                <w:color w:val="auto"/>
                <w:kern w:val="2"/>
                <w:sz w:val="24"/>
                <w:szCs w:val="22"/>
                <w:highlight w:val="none"/>
              </w:rPr>
              <w:t>一般</w:t>
            </w:r>
          </w:p>
        </w:tc>
        <w:tc>
          <w:tcPr>
            <w:tcW w:w="2325"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负荷≥20000兆瓦：5%—10%；负荷5000—20000兆瓦：6%—12%；负荷1000—5000兆瓦：10%—20%；负荷＜1000兆瓦：25%—40%。</w:t>
            </w:r>
          </w:p>
        </w:tc>
        <w:tc>
          <w:tcPr>
            <w:tcW w:w="2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eastAsia" w:ascii="楷体_GB2312" w:hAnsi="楷体_GB2312" w:eastAsia="楷体_GB2312" w:cs="Calibri"/>
                <w:color w:val="auto"/>
                <w:kern w:val="2"/>
                <w:sz w:val="24"/>
                <w:szCs w:val="22"/>
                <w:highlight w:val="none"/>
              </w:rPr>
            </w:pPr>
            <w:r>
              <w:rPr>
                <w:rFonts w:hint="eastAsia" w:ascii="楷体_GB2312" w:hAnsi="楷体_GB2312" w:eastAsia="楷体_GB2312" w:cs="Calibri"/>
                <w:color w:val="auto"/>
                <w:kern w:val="2"/>
                <w:sz w:val="24"/>
                <w:szCs w:val="22"/>
                <w:highlight w:val="none"/>
              </w:rPr>
              <w:t>减供负荷10—</w:t>
            </w:r>
          </w:p>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20%，或15—30%供电用户停电。</w:t>
            </w:r>
          </w:p>
        </w:tc>
        <w:tc>
          <w:tcPr>
            <w:tcW w:w="189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减供负荷20—40%</w:t>
            </w:r>
            <w:r>
              <w:rPr>
                <w:rFonts w:hint="eastAsia" w:ascii="楷体_GB2312" w:hAnsi="楷体_GB2312" w:eastAsia="楷体_GB2312" w:cs="Calibri"/>
                <w:color w:val="auto"/>
                <w:kern w:val="2"/>
                <w:sz w:val="24"/>
                <w:szCs w:val="22"/>
                <w:highlight w:val="none"/>
                <w:lang w:eastAsia="zh-CN"/>
              </w:rPr>
              <w:t>，</w:t>
            </w:r>
            <w:r>
              <w:rPr>
                <w:rFonts w:hint="eastAsia" w:ascii="楷体_GB2312" w:hAnsi="楷体_GB2312" w:eastAsia="楷体_GB2312" w:cs="Calibri"/>
                <w:color w:val="auto"/>
                <w:kern w:val="2"/>
                <w:sz w:val="24"/>
                <w:szCs w:val="22"/>
                <w:highlight w:val="none"/>
              </w:rPr>
              <w:t>或30—50%供电用户停电。</w:t>
            </w:r>
          </w:p>
        </w:tc>
        <w:tc>
          <w:tcPr>
            <w:tcW w:w="192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default" w:ascii="Calibri" w:hAnsi="Calibri" w:cs="Calibri"/>
                <w:color w:val="auto"/>
                <w:kern w:val="2"/>
                <w:sz w:val="24"/>
                <w:szCs w:val="22"/>
                <w:highlight w:val="none"/>
              </w:rPr>
            </w:pPr>
            <w:r>
              <w:rPr>
                <w:rFonts w:hint="eastAsia" w:ascii="楷体_GB2312" w:hAnsi="楷体_GB2312" w:eastAsia="楷体_GB2312" w:cs="Calibri"/>
                <w:color w:val="auto"/>
                <w:kern w:val="2"/>
                <w:sz w:val="24"/>
                <w:szCs w:val="22"/>
                <w:highlight w:val="none"/>
              </w:rPr>
              <w:t>负荷≥150兆瓦：减负40—60%，或50—70%供电用户停电；负荷＜150兆瓦：减负40%以上，或50%以上供电用户停电。</w:t>
            </w:r>
          </w:p>
        </w:tc>
      </w:tr>
    </w:tbl>
    <w:p>
      <w:pPr>
        <w:numPr>
          <w:ilvl w:val="0"/>
          <w:numId w:val="0"/>
        </w:numPr>
        <w:kinsoku w:val="0"/>
        <w:overflowPunct w:val="0"/>
        <w:spacing w:before="1"/>
        <w:outlineLvl w:val="9"/>
        <w:rPr>
          <w:rFonts w:hint="eastAsia" w:ascii="楷体_GB2312" w:hAnsi="楷体_GB2312" w:eastAsia="楷体_GB2312" w:cs="楷体_GB2312"/>
          <w:b w:val="0"/>
          <w:bCs w:val="0"/>
          <w:color w:val="auto"/>
          <w:sz w:val="32"/>
          <w:szCs w:val="32"/>
          <w:highlight w:val="none"/>
          <w:lang w:eastAsia="zh-CN"/>
        </w:rPr>
      </w:pPr>
      <w:r>
        <w:rPr>
          <w:rFonts w:hint="eastAsia" w:ascii="宋体" w:hAnsi="宋体" w:eastAsia="宋体" w:cs="宋体"/>
          <w:color w:val="auto"/>
          <w:sz w:val="24"/>
          <w:highlight w:val="none"/>
        </w:rPr>
        <w:t>〔注：依据《国家</w:t>
      </w:r>
      <w:r>
        <w:rPr>
          <w:rFonts w:hint="eastAsia" w:ascii="宋体" w:hAnsi="宋体" w:eastAsia="宋体" w:cs="宋体"/>
          <w:color w:val="auto"/>
          <w:sz w:val="24"/>
          <w:highlight w:val="none"/>
          <w:lang w:eastAsia="zh-CN"/>
        </w:rPr>
        <w:t>大</w:t>
      </w:r>
      <w:r>
        <w:rPr>
          <w:rFonts w:hint="eastAsia" w:ascii="宋体" w:hAnsi="宋体" w:eastAsia="宋体" w:cs="宋体"/>
          <w:color w:val="auto"/>
          <w:sz w:val="24"/>
          <w:highlight w:val="none"/>
        </w:rPr>
        <w:t>面积停电事件应急预案》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国办函〔2015〕134号制表。〕</w:t>
      </w:r>
      <w:bookmarkStart w:id="1083" w:name="_Toc22844_WPSOffice_Level2"/>
    </w:p>
    <w:p>
      <w:pPr>
        <w:numPr>
          <w:ilvl w:val="0"/>
          <w:numId w:val="0"/>
        </w:numPr>
        <w:kinsoku w:val="0"/>
        <w:overflowPunct w:val="0"/>
        <w:spacing w:before="1"/>
        <w:ind w:firstLine="640" w:firstLineChars="200"/>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lang w:eastAsia="zh-CN"/>
        </w:rPr>
        <w:t>（五）突发环境事件</w:t>
      </w:r>
      <w:bookmarkEnd w:id="1083"/>
    </w:p>
    <w:tbl>
      <w:tblPr>
        <w:tblStyle w:val="10"/>
        <w:tblW w:w="9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857"/>
        <w:gridCol w:w="975"/>
        <w:gridCol w:w="900"/>
        <w:gridCol w:w="900"/>
        <w:gridCol w:w="1382"/>
        <w:gridCol w:w="227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exact"/>
          <w:jc w:val="center"/>
        </w:trPr>
        <w:tc>
          <w:tcPr>
            <w:tcW w:w="933"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突发 环境 事件</w:t>
            </w:r>
          </w:p>
        </w:tc>
        <w:tc>
          <w:tcPr>
            <w:tcW w:w="2732" w:type="dxa"/>
            <w:gridSpan w:val="3"/>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造成生命财产损失</w:t>
            </w:r>
          </w:p>
        </w:tc>
        <w:tc>
          <w:tcPr>
            <w:tcW w:w="5951" w:type="dxa"/>
            <w:gridSpan w:val="4"/>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因环境污染事件造成若干后果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exact"/>
          <w:jc w:val="center"/>
        </w:trPr>
        <w:tc>
          <w:tcPr>
            <w:tcW w:w="933" w:type="dxa"/>
            <w:vMerge w:val="continue"/>
            <w:tcBorders>
              <w:tl2br w:val="nil"/>
              <w:tr2bl w:val="nil"/>
            </w:tcBorders>
            <w:noWrap w:val="0"/>
            <w:vAlign w:val="center"/>
          </w:tcPr>
          <w:p>
            <w:pPr>
              <w:widowControl w:val="0"/>
              <w:wordWrap/>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p>
        </w:tc>
        <w:tc>
          <w:tcPr>
            <w:tcW w:w="8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死亡 人数</w:t>
            </w:r>
          </w:p>
        </w:tc>
        <w:tc>
          <w:tcPr>
            <w:tcW w:w="9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中毒</w:t>
            </w: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重伤</w:t>
            </w: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人数</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直接经 济损失</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lang w:eastAsia="zh-CN"/>
              </w:rPr>
              <w:t>（</w:t>
            </w:r>
            <w:r>
              <w:rPr>
                <w:rFonts w:hint="eastAsia" w:ascii="宋体" w:hAnsi="宋体" w:eastAsia="宋体" w:cs="Calibri"/>
                <w:b/>
                <w:color w:val="auto"/>
                <w:kern w:val="2"/>
                <w:sz w:val="21"/>
                <w:szCs w:val="22"/>
                <w:highlight w:val="none"/>
              </w:rPr>
              <w:t>元）</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疏散 转移 群众</w:t>
            </w:r>
          </w:p>
        </w:tc>
        <w:tc>
          <w:tcPr>
            <w:tcW w:w="1382"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造成集中式饮用水水源地取水中断</w:t>
            </w:r>
          </w:p>
        </w:tc>
        <w:tc>
          <w:tcPr>
            <w:tcW w:w="227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影响区域生态功能，或破坏国家重点保护物种</w:t>
            </w:r>
          </w:p>
        </w:tc>
        <w:tc>
          <w:tcPr>
            <w:tcW w:w="139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exact"/>
          <w:jc w:val="center"/>
        </w:trPr>
        <w:tc>
          <w:tcPr>
            <w:tcW w:w="933"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特别</w:t>
            </w:r>
            <w:r>
              <w:rPr>
                <w:rFonts w:hint="eastAsia" w:ascii="宋体" w:hAnsi="宋体" w:cs="Calibri"/>
                <w:b/>
                <w:color w:val="auto"/>
                <w:kern w:val="2"/>
                <w:sz w:val="21"/>
                <w:szCs w:val="22"/>
                <w:highlight w:val="none"/>
                <w:lang w:val="en-US" w:eastAsia="zh-CN"/>
              </w:rPr>
              <w:t xml:space="preserve"> </w:t>
            </w:r>
            <w:r>
              <w:rPr>
                <w:rFonts w:hint="eastAsia" w:ascii="宋体" w:hAnsi="宋体" w:eastAsia="宋体" w:cs="Calibri"/>
                <w:b/>
                <w:color w:val="auto"/>
                <w:kern w:val="2"/>
                <w:sz w:val="21"/>
                <w:szCs w:val="22"/>
                <w:highlight w:val="none"/>
              </w:rPr>
              <w:t>重大</w:t>
            </w:r>
          </w:p>
        </w:tc>
        <w:tc>
          <w:tcPr>
            <w:tcW w:w="8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≥30人</w:t>
            </w:r>
          </w:p>
        </w:tc>
        <w:tc>
          <w:tcPr>
            <w:tcW w:w="9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1"/>
                <w:szCs w:val="22"/>
                <w:highlight w:val="none"/>
              </w:rPr>
            </w:pPr>
            <w:r>
              <w:rPr>
                <w:rFonts w:hint="eastAsia" w:ascii="仿宋_GB2312" w:hAnsi="仿宋_GB2312" w:eastAsia="仿宋_GB2312" w:cs="Calibri"/>
                <w:color w:val="auto"/>
                <w:kern w:val="2"/>
                <w:sz w:val="21"/>
                <w:szCs w:val="22"/>
                <w:highlight w:val="none"/>
              </w:rPr>
              <w:t>≥100</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人</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1亿元以上</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≥5万人</w:t>
            </w:r>
          </w:p>
        </w:tc>
        <w:tc>
          <w:tcPr>
            <w:tcW w:w="1382"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设区的市级以上城市</w:t>
            </w:r>
          </w:p>
        </w:tc>
        <w:tc>
          <w:tcPr>
            <w:tcW w:w="227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区域生态功能丧失或该区域国家重点保护物种灭绝</w:t>
            </w:r>
          </w:p>
        </w:tc>
        <w:tc>
          <w:tcPr>
            <w:tcW w:w="139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造成重大跨国境影响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exact"/>
          <w:jc w:val="center"/>
        </w:trPr>
        <w:tc>
          <w:tcPr>
            <w:tcW w:w="933"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重大</w:t>
            </w:r>
          </w:p>
        </w:tc>
        <w:tc>
          <w:tcPr>
            <w:tcW w:w="8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1"/>
                <w:szCs w:val="22"/>
                <w:highlight w:val="none"/>
              </w:rPr>
            </w:pPr>
            <w:r>
              <w:rPr>
                <w:rFonts w:hint="eastAsia" w:ascii="仿宋_GB2312" w:hAnsi="仿宋_GB2312" w:eastAsia="仿宋_GB2312" w:cs="Calibri"/>
                <w:color w:val="auto"/>
                <w:kern w:val="2"/>
                <w:sz w:val="21"/>
                <w:szCs w:val="22"/>
                <w:highlight w:val="none"/>
              </w:rPr>
              <w:t>10-29</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人</w:t>
            </w:r>
          </w:p>
        </w:tc>
        <w:tc>
          <w:tcPr>
            <w:tcW w:w="9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1"/>
                <w:szCs w:val="22"/>
                <w:highlight w:val="none"/>
              </w:rPr>
            </w:pPr>
            <w:r>
              <w:rPr>
                <w:rFonts w:hint="eastAsia" w:ascii="仿宋_GB2312" w:hAnsi="仿宋_GB2312" w:eastAsia="仿宋_GB2312" w:cs="Calibri"/>
                <w:color w:val="auto"/>
                <w:kern w:val="2"/>
                <w:sz w:val="21"/>
                <w:szCs w:val="22"/>
                <w:highlight w:val="none"/>
              </w:rPr>
              <w:t>50-99</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人</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1"/>
                <w:szCs w:val="22"/>
                <w:highlight w:val="none"/>
              </w:rPr>
            </w:pPr>
            <w:r>
              <w:rPr>
                <w:rFonts w:hint="eastAsia" w:ascii="仿宋_GB2312" w:hAnsi="仿宋_GB2312" w:eastAsia="仿宋_GB2312" w:cs="Calibri"/>
                <w:color w:val="auto"/>
                <w:kern w:val="2"/>
                <w:sz w:val="21"/>
                <w:szCs w:val="22"/>
                <w:highlight w:val="none"/>
              </w:rPr>
              <w:t>2千万</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1"/>
                <w:szCs w:val="22"/>
                <w:highlight w:val="none"/>
              </w:rPr>
            </w:pPr>
            <w:r>
              <w:rPr>
                <w:rFonts w:hint="eastAsia" w:ascii="仿宋_GB2312" w:hAnsi="仿宋_GB2312" w:eastAsia="仿宋_GB2312" w:cs="Calibri"/>
                <w:color w:val="auto"/>
                <w:kern w:val="2"/>
                <w:sz w:val="21"/>
                <w:szCs w:val="22"/>
                <w:highlight w:val="none"/>
              </w:rPr>
              <w:t>-</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1亿元</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1"/>
                <w:szCs w:val="22"/>
                <w:highlight w:val="none"/>
              </w:rPr>
            </w:pPr>
            <w:r>
              <w:rPr>
                <w:rFonts w:hint="eastAsia" w:ascii="仿宋_GB2312" w:hAnsi="仿宋_GB2312" w:eastAsia="仿宋_GB2312" w:cs="Calibri"/>
                <w:color w:val="auto"/>
                <w:kern w:val="2"/>
                <w:sz w:val="21"/>
                <w:szCs w:val="22"/>
                <w:highlight w:val="none"/>
              </w:rPr>
              <w:t>1-5</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万人</w:t>
            </w:r>
          </w:p>
        </w:tc>
        <w:tc>
          <w:tcPr>
            <w:tcW w:w="1382"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县级城市</w:t>
            </w:r>
          </w:p>
        </w:tc>
        <w:tc>
          <w:tcPr>
            <w:tcW w:w="227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区域生态功能部分丧失或该区域国家重点保护野生动植物种群大批死亡</w:t>
            </w:r>
          </w:p>
        </w:tc>
        <w:tc>
          <w:tcPr>
            <w:tcW w:w="139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造成跨省影响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exact"/>
          <w:jc w:val="center"/>
        </w:trPr>
        <w:tc>
          <w:tcPr>
            <w:tcW w:w="933"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较大</w:t>
            </w:r>
          </w:p>
        </w:tc>
        <w:tc>
          <w:tcPr>
            <w:tcW w:w="8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1"/>
                <w:szCs w:val="22"/>
                <w:highlight w:val="none"/>
              </w:rPr>
            </w:pPr>
            <w:r>
              <w:rPr>
                <w:rFonts w:hint="eastAsia" w:ascii="仿宋_GB2312" w:hAnsi="仿宋_GB2312" w:eastAsia="仿宋_GB2312" w:cs="Calibri"/>
                <w:color w:val="auto"/>
                <w:kern w:val="2"/>
                <w:sz w:val="21"/>
                <w:szCs w:val="22"/>
                <w:highlight w:val="none"/>
              </w:rPr>
              <w:t>3-9</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人</w:t>
            </w:r>
          </w:p>
        </w:tc>
        <w:tc>
          <w:tcPr>
            <w:tcW w:w="9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10-49人</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500万-2000万</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5千-1万人</w:t>
            </w:r>
          </w:p>
        </w:tc>
        <w:tc>
          <w:tcPr>
            <w:tcW w:w="1382"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乡镇</w:t>
            </w:r>
          </w:p>
        </w:tc>
        <w:tc>
          <w:tcPr>
            <w:tcW w:w="227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造成国家重点保护的动植物物种受到破坏</w:t>
            </w:r>
          </w:p>
        </w:tc>
        <w:tc>
          <w:tcPr>
            <w:tcW w:w="139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造成跨市</w:t>
            </w:r>
            <w:r>
              <w:rPr>
                <w:rFonts w:hint="eastAsia" w:ascii="仿宋_GB2312" w:hAnsi="仿宋_GB2312" w:cs="Calibri"/>
                <w:color w:val="auto"/>
                <w:kern w:val="2"/>
                <w:sz w:val="21"/>
                <w:szCs w:val="22"/>
                <w:highlight w:val="none"/>
                <w:lang w:eastAsia="zh-CN"/>
              </w:rPr>
              <w:t>（</w:t>
            </w:r>
            <w:r>
              <w:rPr>
                <w:rFonts w:hint="eastAsia" w:ascii="仿宋_GB2312" w:hAnsi="仿宋_GB2312" w:eastAsia="仿宋_GB2312" w:cs="Calibri"/>
                <w:color w:val="auto"/>
                <w:kern w:val="2"/>
                <w:sz w:val="21"/>
                <w:szCs w:val="22"/>
                <w:highlight w:val="none"/>
              </w:rPr>
              <w:t>设区）影响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exact"/>
          <w:jc w:val="center"/>
        </w:trPr>
        <w:tc>
          <w:tcPr>
            <w:tcW w:w="933"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一般</w:t>
            </w:r>
          </w:p>
        </w:tc>
        <w:tc>
          <w:tcPr>
            <w:tcW w:w="857"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1-2人</w:t>
            </w:r>
          </w:p>
        </w:tc>
        <w:tc>
          <w:tcPr>
            <w:tcW w:w="97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1-9人</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1"/>
                <w:szCs w:val="22"/>
                <w:highlight w:val="none"/>
              </w:rPr>
            </w:pPr>
            <w:r>
              <w:rPr>
                <w:rFonts w:hint="eastAsia" w:ascii="仿宋_GB2312" w:hAnsi="仿宋_GB2312" w:eastAsia="仿宋_GB2312" w:cs="Calibri"/>
                <w:color w:val="auto"/>
                <w:kern w:val="2"/>
                <w:sz w:val="21"/>
                <w:szCs w:val="22"/>
                <w:highlight w:val="none"/>
              </w:rPr>
              <w:t>500万</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以下</w:t>
            </w:r>
          </w:p>
        </w:tc>
        <w:tc>
          <w:tcPr>
            <w:tcW w:w="90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5千人以下</w:t>
            </w:r>
          </w:p>
        </w:tc>
        <w:tc>
          <w:tcPr>
            <w:tcW w:w="1382"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w:t>
            </w:r>
          </w:p>
        </w:tc>
        <w:tc>
          <w:tcPr>
            <w:tcW w:w="227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w:t>
            </w:r>
          </w:p>
        </w:tc>
        <w:tc>
          <w:tcPr>
            <w:tcW w:w="139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仿宋_GB2312" w:hAnsi="仿宋_GB2312" w:eastAsia="仿宋_GB2312" w:cs="Calibri"/>
                <w:color w:val="auto"/>
                <w:kern w:val="2"/>
                <w:sz w:val="21"/>
                <w:szCs w:val="22"/>
                <w:highlight w:val="none"/>
              </w:rPr>
              <w:t>造成跨县纠纷，引起一般 性群体影响</w:t>
            </w:r>
          </w:p>
        </w:tc>
      </w:tr>
    </w:tbl>
    <w:p>
      <w:pPr>
        <w:pStyle w:val="4"/>
        <w:kinsoku w:val="0"/>
        <w:overflowPunct w:val="0"/>
        <w:spacing w:before="83" w:line="360" w:lineRule="exact"/>
        <w:ind w:left="193" w:firstLine="482"/>
        <w:outlineLvl w:val="9"/>
        <w:rPr>
          <w:rFonts w:hint="eastAsia" w:ascii="宋体" w:hAnsi="宋体" w:eastAsia="宋体"/>
          <w:color w:val="auto"/>
          <w:sz w:val="24"/>
          <w:highlight w:val="none"/>
        </w:rPr>
      </w:pPr>
      <w:r>
        <w:rPr>
          <w:rFonts w:hint="eastAsia" w:ascii="宋体" w:hAnsi="宋体" w:eastAsia="宋体"/>
          <w:color w:val="auto"/>
          <w:sz w:val="24"/>
          <w:highlight w:val="none"/>
        </w:rPr>
        <w:t>〔注：依据《国家突发环境事件应急预案》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2014</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119号）《海南省突发环境事件应急预案》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琼府办</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2016</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14号）制表。〕</w:t>
      </w:r>
    </w:p>
    <w:p>
      <w:pPr>
        <w:numPr>
          <w:ilvl w:val="0"/>
          <w:numId w:val="0"/>
        </w:numPr>
        <w:kinsoku w:val="0"/>
        <w:overflowPunct w:val="0"/>
        <w:spacing w:before="1"/>
        <w:ind w:firstLine="640" w:firstLineChars="200"/>
        <w:outlineLvl w:val="9"/>
        <w:rPr>
          <w:rFonts w:hint="eastAsia" w:ascii="楷体_GB2312" w:hAnsi="楷体_GB2312" w:eastAsia="楷体_GB2312" w:cs="楷体_GB2312"/>
          <w:b w:val="0"/>
          <w:bCs w:val="0"/>
          <w:color w:val="auto"/>
          <w:sz w:val="32"/>
          <w:szCs w:val="32"/>
          <w:highlight w:val="none"/>
        </w:rPr>
      </w:pPr>
      <w:bookmarkStart w:id="1084" w:name="_Toc10528_WPSOffice_Level2"/>
      <w:r>
        <w:rPr>
          <w:rFonts w:hint="eastAsia" w:ascii="楷体_GB2312" w:hAnsi="楷体_GB2312" w:eastAsia="楷体_GB2312" w:cs="楷体_GB2312"/>
          <w:b w:val="0"/>
          <w:bCs w:val="0"/>
          <w:color w:val="auto"/>
          <w:sz w:val="32"/>
          <w:szCs w:val="32"/>
          <w:highlight w:val="none"/>
          <w:lang w:eastAsia="zh-CN"/>
        </w:rPr>
        <w:t>（六）辐射事故</w:t>
      </w:r>
      <w:bookmarkEnd w:id="1084"/>
    </w:p>
    <w:tbl>
      <w:tblPr>
        <w:tblStyle w:val="10"/>
        <w:tblW w:w="91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5"/>
        <w:gridCol w:w="1732"/>
        <w:gridCol w:w="2259"/>
        <w:gridCol w:w="1868"/>
        <w:gridCol w:w="2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5"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辐射 事故</w:t>
            </w: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u w:val="none"/>
              </w:rPr>
            </w:pPr>
            <w:r>
              <w:rPr>
                <w:rFonts w:hint="eastAsia" w:ascii="宋体" w:hAnsi="宋体" w:eastAsia="宋体" w:cs="宋体"/>
                <w:b/>
                <w:color w:val="auto"/>
                <w:kern w:val="2"/>
                <w:sz w:val="21"/>
                <w:szCs w:val="21"/>
                <w:highlight w:val="none"/>
                <w:u w:val="none"/>
              </w:rPr>
              <w:t>放射源丢失、 被盗、失控</w:t>
            </w:r>
          </w:p>
        </w:tc>
        <w:tc>
          <w:tcPr>
            <w:tcW w:w="225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u w:val="none"/>
              </w:rPr>
            </w:pPr>
            <w:r>
              <w:rPr>
                <w:rFonts w:hint="eastAsia" w:ascii="宋体" w:hAnsi="宋体" w:eastAsia="宋体" w:cs="宋体"/>
                <w:b/>
                <w:color w:val="auto"/>
                <w:kern w:val="2"/>
                <w:sz w:val="21"/>
                <w:szCs w:val="21"/>
                <w:highlight w:val="none"/>
                <w:u w:val="none"/>
              </w:rPr>
              <w:t>放射性同位素和射线装置失控</w:t>
            </w:r>
          </w:p>
        </w:tc>
        <w:tc>
          <w:tcPr>
            <w:tcW w:w="186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u w:val="single"/>
              </w:rPr>
            </w:pPr>
            <w:r>
              <w:rPr>
                <w:rFonts w:hint="eastAsia" w:ascii="宋体" w:hAnsi="宋体" w:eastAsia="宋体" w:cs="宋体"/>
                <w:b/>
                <w:color w:val="auto"/>
                <w:kern w:val="2"/>
                <w:sz w:val="21"/>
                <w:szCs w:val="21"/>
                <w:highlight w:val="none"/>
                <w:u w:val="none"/>
              </w:rPr>
              <w:t>放射性物质泄漏</w:t>
            </w: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u w:val="single"/>
              </w:rPr>
            </w:pPr>
            <w:r>
              <w:rPr>
                <w:rFonts w:hint="eastAsia" w:ascii="宋体" w:hAnsi="宋体" w:eastAsia="宋体" w:cs="宋体"/>
                <w:b/>
                <w:color w:val="auto"/>
                <w:kern w:val="2"/>
                <w:sz w:val="21"/>
                <w:szCs w:val="21"/>
                <w:highlight w:val="none"/>
                <w:u w:val="single"/>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3"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特别 重大</w:t>
            </w: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Ⅰ、Ⅱ类丢失、被盗、失控并造成环境辐射污</w:t>
            </w:r>
          </w:p>
        </w:tc>
        <w:tc>
          <w:tcPr>
            <w:tcW w:w="225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导致3人以上</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含3人）急性死亡</w:t>
            </w:r>
          </w:p>
        </w:tc>
        <w:tc>
          <w:tcPr>
            <w:tcW w:w="186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造成大范围严重环境辐射污染事故</w:t>
            </w: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对我省可能或已经造成大范围辐射环境影响的航天器坠落事故或境外发生的辐射事故</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1"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重大</w:t>
            </w: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染后果Ⅰ、Ⅱ类放射源丢失、被盗</w:t>
            </w:r>
          </w:p>
        </w:tc>
        <w:tc>
          <w:tcPr>
            <w:tcW w:w="225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导致1-2人急性死亡或10人以上急性重度放射病、局部器官残疾</w:t>
            </w:r>
          </w:p>
        </w:tc>
        <w:tc>
          <w:tcPr>
            <w:tcW w:w="186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造成较大范围辐射污染后果</w:t>
            </w: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较大</w:t>
            </w: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III类放射源丢失、被盗</w:t>
            </w:r>
          </w:p>
        </w:tc>
        <w:tc>
          <w:tcPr>
            <w:tcW w:w="225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导致1-9人急性重度放射病、局部器官残疾</w:t>
            </w:r>
          </w:p>
        </w:tc>
        <w:tc>
          <w:tcPr>
            <w:tcW w:w="186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造成小范围辐射污染后果</w:t>
            </w: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1" w:hRule="exact"/>
          <w:jc w:val="center"/>
        </w:trPr>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一般</w:t>
            </w: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IV、V类放射源丢失、被盗</w:t>
            </w:r>
          </w:p>
        </w:tc>
        <w:tc>
          <w:tcPr>
            <w:tcW w:w="225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导致人员受到超过年剂量限值的照射</w:t>
            </w:r>
          </w:p>
        </w:tc>
        <w:tc>
          <w:tcPr>
            <w:tcW w:w="186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造成厂区内或设施内局部辐射污染后果</w:t>
            </w: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320" w:lineRule="exact"/>
              <w:ind w:left="0" w:leftChars="0" w:right="0" w:firstLine="0" w:firstLineChars="0"/>
              <w:jc w:val="center"/>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铀矿冶炼、伴生矿超标排放，造成环境辐射污染后果</w:t>
            </w:r>
          </w:p>
        </w:tc>
      </w:tr>
    </w:tbl>
    <w:p>
      <w:pPr>
        <w:pStyle w:val="4"/>
        <w:kinsoku w:val="0"/>
        <w:overflowPunct w:val="0"/>
        <w:spacing w:before="84" w:line="360" w:lineRule="exact"/>
        <w:ind w:left="0" w:firstLine="480" w:firstLineChars="200"/>
        <w:outlineLvl w:val="9"/>
        <w:rPr>
          <w:rFonts w:hint="eastAsia" w:ascii="宋体" w:hAnsi="宋体" w:eastAsia="宋体"/>
          <w:color w:val="auto"/>
          <w:sz w:val="24"/>
          <w:highlight w:val="none"/>
        </w:rPr>
      </w:pPr>
      <w:r>
        <w:rPr>
          <w:rFonts w:hint="eastAsia" w:ascii="宋体" w:hAnsi="宋体" w:eastAsia="宋体"/>
          <w:color w:val="auto"/>
          <w:sz w:val="24"/>
          <w:highlight w:val="none"/>
        </w:rPr>
        <w:t>〔注：依据《国家突发环境事件应急预案》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2014</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119号）《海南 省辐射事故应急预案》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琼府办</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2016</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156号）制表。〕</w:t>
      </w:r>
    </w:p>
    <w:p>
      <w:pPr>
        <w:numPr>
          <w:ilvl w:val="0"/>
          <w:numId w:val="0"/>
        </w:numPr>
        <w:kinsoku w:val="0"/>
        <w:overflowPunct w:val="0"/>
        <w:spacing w:before="1"/>
        <w:ind w:firstLine="640" w:firstLineChars="200"/>
        <w:outlineLvl w:val="9"/>
        <w:rPr>
          <w:rFonts w:hint="eastAsia" w:ascii="仿宋_GB2312" w:hAnsi="仿宋_GB2312" w:eastAsia="仿宋_GB2312"/>
          <w:b/>
          <w:bCs/>
          <w:color w:val="auto"/>
          <w:sz w:val="32"/>
          <w:szCs w:val="32"/>
          <w:highlight w:val="none"/>
          <w:lang w:eastAsia="zh-CN"/>
        </w:rPr>
      </w:pPr>
      <w:bookmarkStart w:id="1085" w:name="_Toc9647_WPSOffice_Level2"/>
      <w:r>
        <w:rPr>
          <w:rFonts w:hint="eastAsia" w:ascii="楷体_GB2312" w:hAnsi="楷体_GB2312" w:eastAsia="楷体_GB2312" w:cs="楷体_GB2312"/>
          <w:b w:val="0"/>
          <w:bCs w:val="0"/>
          <w:color w:val="auto"/>
          <w:sz w:val="32"/>
          <w:szCs w:val="32"/>
          <w:highlight w:val="none"/>
          <w:lang w:eastAsia="zh-CN"/>
        </w:rPr>
        <w:t>（七）大面积通信中断事件</w:t>
      </w:r>
      <w:bookmarkEnd w:id="1085"/>
    </w:p>
    <w:tbl>
      <w:tblPr>
        <w:tblStyle w:val="10"/>
        <w:tblW w:w="8830"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exact"/>
        </w:trPr>
        <w:tc>
          <w:tcPr>
            <w:tcW w:w="191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大面积</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b/>
                <w:color w:val="auto"/>
                <w:kern w:val="2"/>
                <w:sz w:val="24"/>
                <w:szCs w:val="24"/>
                <w:highlight w:val="none"/>
              </w:rPr>
              <w:t>通信中断</w:t>
            </w:r>
          </w:p>
        </w:tc>
        <w:tc>
          <w:tcPr>
            <w:tcW w:w="692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宋体"/>
                <w:b/>
                <w:color w:val="auto"/>
                <w:kern w:val="2"/>
                <w:sz w:val="24"/>
                <w:szCs w:val="24"/>
                <w:highlight w:val="none"/>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电信网络出现故障或其他事件征兆，引发或可能引发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191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特别重大</w:t>
            </w:r>
          </w:p>
        </w:tc>
        <w:tc>
          <w:tcPr>
            <w:tcW w:w="692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2个以上省</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区、市）通信大面积中断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exact"/>
        </w:trPr>
        <w:tc>
          <w:tcPr>
            <w:tcW w:w="1910" w:type="dxa"/>
            <w:tcBorders>
              <w:tl2br w:val="nil"/>
              <w:tr2bl w:val="nil"/>
            </w:tcBorders>
            <w:noWrap w:val="0"/>
            <w:vAlign w:val="top"/>
          </w:tcPr>
          <w:p>
            <w:pPr>
              <w:pStyle w:val="12"/>
              <w:widowControl w:val="0"/>
              <w:tabs>
                <w:tab w:val="left" w:pos="1050"/>
              </w:tabs>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重大</w:t>
            </w:r>
          </w:p>
        </w:tc>
        <w:tc>
          <w:tcPr>
            <w:tcW w:w="692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本省10个以上市县通信大面积中断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exact"/>
        </w:trPr>
        <w:tc>
          <w:tcPr>
            <w:tcW w:w="191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较大</w:t>
            </w:r>
          </w:p>
        </w:tc>
        <w:tc>
          <w:tcPr>
            <w:tcW w:w="692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本省2-9个市县通信大面积中断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191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一般</w:t>
            </w:r>
          </w:p>
        </w:tc>
        <w:tc>
          <w:tcPr>
            <w:tcW w:w="6920"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本省1个市县通信中断</w:t>
            </w:r>
          </w:p>
        </w:tc>
      </w:tr>
    </w:tbl>
    <w:p>
      <w:pPr>
        <w:pStyle w:val="4"/>
        <w:kinsoku w:val="0"/>
        <w:overflowPunct w:val="0"/>
        <w:spacing w:before="49"/>
        <w:ind w:left="0" w:leftChars="0" w:firstLine="480" w:firstLineChars="200"/>
        <w:outlineLvl w:val="9"/>
        <w:rPr>
          <w:rFonts w:hint="eastAsia" w:ascii="宋体" w:hAnsi="宋体" w:eastAsia="宋体"/>
          <w:color w:val="auto"/>
          <w:sz w:val="24"/>
          <w:highlight w:val="none"/>
        </w:rPr>
      </w:pPr>
      <w:r>
        <w:rPr>
          <w:rFonts w:hint="eastAsia" w:ascii="宋体" w:hAnsi="宋体" w:eastAsia="宋体"/>
          <w:color w:val="auto"/>
          <w:sz w:val="24"/>
          <w:highlight w:val="none"/>
        </w:rPr>
        <w:t>〔注：依据《海南省通信保障应急预案》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琼府办</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2015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177 号）制表。〕</w:t>
      </w:r>
      <w:bookmarkStart w:id="1086" w:name="_Toc21373_WPSOffice_Level1"/>
    </w:p>
    <w:p>
      <w:pPr>
        <w:pStyle w:val="4"/>
        <w:kinsoku w:val="0"/>
        <w:overflowPunct w:val="0"/>
        <w:spacing w:before="49"/>
        <w:ind w:left="0" w:leftChars="0" w:firstLine="640" w:firstLineChars="200"/>
        <w:outlineLvl w:val="9"/>
        <w:rPr>
          <w:rFonts w:hint="eastAsia" w:ascii="黑体" w:hAnsi="黑体" w:eastAsia="黑体"/>
          <w:b w:val="0"/>
          <w:color w:val="auto"/>
          <w:sz w:val="32"/>
          <w:highlight w:val="none"/>
          <w:lang w:eastAsia="zh-CN"/>
        </w:rPr>
      </w:pPr>
      <w:r>
        <w:rPr>
          <w:rFonts w:hint="eastAsia" w:ascii="黑体" w:hAnsi="黑体" w:eastAsia="黑体"/>
          <w:b w:val="0"/>
          <w:color w:val="auto"/>
          <w:sz w:val="32"/>
          <w:highlight w:val="none"/>
          <w:lang w:eastAsia="zh-CN"/>
        </w:rPr>
        <w:t>三、突发公共卫生事件类</w:t>
      </w:r>
      <w:bookmarkEnd w:id="1086"/>
      <w:bookmarkStart w:id="1087" w:name="_Toc26386_WPSOffice_Level2"/>
    </w:p>
    <w:p>
      <w:pPr>
        <w:widowControl w:val="0"/>
        <w:numPr>
          <w:ilvl w:val="0"/>
          <w:numId w:val="0"/>
        </w:numPr>
        <w:kinsoku w:val="0"/>
        <w:wordWrap/>
        <w:overflowPunct w:val="0"/>
        <w:adjustRightInd/>
        <w:snapToGrid/>
        <w:spacing w:line="560" w:lineRule="exact"/>
        <w:ind w:leftChars="0" w:firstLine="640" w:firstLineChars="200"/>
        <w:jc w:val="left"/>
        <w:textAlignment w:val="auto"/>
        <w:outlineLvl w:val="9"/>
        <w:rPr>
          <w:rFonts w:hint="eastAsia" w:ascii="楷体_GB2312" w:hAnsi="楷体_GB2312" w:eastAsia="楷体_GB2312" w:cs="楷体_GB2312"/>
          <w:b w:val="0"/>
          <w:bCs w:val="0"/>
          <w:color w:val="auto"/>
          <w:sz w:val="24"/>
          <w:highlight w:val="none"/>
        </w:rPr>
      </w:pPr>
      <w:r>
        <w:rPr>
          <w:rFonts w:hint="eastAsia" w:ascii="楷体_GB2312" w:hAnsi="楷体_GB2312" w:eastAsia="楷体_GB2312" w:cs="楷体_GB2312"/>
          <w:b w:val="0"/>
          <w:bCs w:val="0"/>
          <w:color w:val="auto"/>
          <w:sz w:val="32"/>
          <w:highlight w:val="none"/>
          <w:lang w:eastAsia="zh-CN"/>
        </w:rPr>
        <w:t>（一）公共卫生事件</w:t>
      </w:r>
      <w:bookmarkEnd w:id="1087"/>
    </w:p>
    <w:tbl>
      <w:tblPr>
        <w:tblStyle w:val="10"/>
        <w:tblW w:w="90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4"/>
        <w:gridCol w:w="1849"/>
        <w:gridCol w:w="1849"/>
        <w:gridCol w:w="1966"/>
        <w:gridCol w:w="1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9" w:hRule="atLeast"/>
          <w:jc w:val="center"/>
        </w:trPr>
        <w:tc>
          <w:tcPr>
            <w:tcW w:w="1754" w:type="dxa"/>
            <w:tcBorders>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2"/>
                <w:szCs w:val="22"/>
                <w:highlight w:val="none"/>
                <w:lang w:val="en-US" w:eastAsia="zh-CN"/>
              </w:rPr>
            </w:pPr>
            <w:r>
              <w:rPr>
                <w:rFonts w:hint="eastAsia" w:ascii="宋体" w:hAnsi="宋体" w:eastAsia="宋体" w:cs="宋体"/>
                <w:b/>
                <w:color w:val="auto"/>
                <w:kern w:val="2"/>
                <w:sz w:val="22"/>
                <w:szCs w:val="22"/>
                <w:highlight w:val="none"/>
                <w:lang w:val="en-US" w:eastAsia="zh-CN"/>
              </w:rPr>
              <w:t>突发公共</w:t>
            </w:r>
          </w:p>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2"/>
                <w:szCs w:val="22"/>
                <w:highlight w:val="none"/>
                <w:lang w:val="en-US" w:eastAsia="zh-CN"/>
              </w:rPr>
            </w:pPr>
            <w:r>
              <w:rPr>
                <w:rFonts w:hint="eastAsia" w:ascii="宋体" w:hAnsi="宋体" w:eastAsia="宋体" w:cs="宋体"/>
                <w:b/>
                <w:color w:val="auto"/>
                <w:kern w:val="2"/>
                <w:sz w:val="22"/>
                <w:szCs w:val="22"/>
                <w:highlight w:val="none"/>
                <w:lang w:val="en-US" w:eastAsia="zh-CN"/>
              </w:rPr>
              <w:t>卫生事件</w:t>
            </w:r>
          </w:p>
        </w:tc>
        <w:tc>
          <w:tcPr>
            <w:tcW w:w="1849" w:type="dxa"/>
            <w:tcBorders>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2"/>
                <w:szCs w:val="22"/>
                <w:highlight w:val="none"/>
                <w:lang w:eastAsia="zh-CN"/>
              </w:rPr>
            </w:pPr>
            <w:r>
              <w:rPr>
                <w:rFonts w:hint="eastAsia" w:ascii="宋体" w:hAnsi="宋体" w:eastAsia="宋体" w:cs="宋体"/>
                <w:b/>
                <w:color w:val="auto"/>
                <w:kern w:val="2"/>
                <w:sz w:val="22"/>
                <w:szCs w:val="22"/>
                <w:highlight w:val="none"/>
                <w:lang w:eastAsia="zh-CN"/>
              </w:rPr>
              <w:t>特大</w:t>
            </w:r>
          </w:p>
        </w:tc>
        <w:tc>
          <w:tcPr>
            <w:tcW w:w="1849" w:type="dxa"/>
            <w:tcBorders>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2"/>
                <w:szCs w:val="22"/>
                <w:highlight w:val="none"/>
                <w:lang w:eastAsia="zh-CN"/>
              </w:rPr>
            </w:pPr>
            <w:r>
              <w:rPr>
                <w:rFonts w:hint="eastAsia" w:ascii="宋体" w:hAnsi="宋体" w:eastAsia="宋体" w:cs="宋体"/>
                <w:b/>
                <w:color w:val="auto"/>
                <w:kern w:val="2"/>
                <w:sz w:val="22"/>
                <w:szCs w:val="22"/>
                <w:highlight w:val="none"/>
                <w:lang w:eastAsia="zh-CN"/>
              </w:rPr>
              <w:t>重大</w:t>
            </w:r>
          </w:p>
        </w:tc>
        <w:tc>
          <w:tcPr>
            <w:tcW w:w="1966" w:type="dxa"/>
            <w:tcBorders>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2"/>
                <w:szCs w:val="22"/>
                <w:highlight w:val="none"/>
                <w:lang w:eastAsia="zh-CN"/>
              </w:rPr>
            </w:pPr>
            <w:r>
              <w:rPr>
                <w:rFonts w:hint="eastAsia" w:ascii="宋体" w:hAnsi="宋体" w:eastAsia="宋体" w:cs="宋体"/>
                <w:b/>
                <w:color w:val="auto"/>
                <w:kern w:val="2"/>
                <w:sz w:val="22"/>
                <w:szCs w:val="22"/>
                <w:highlight w:val="none"/>
                <w:lang w:eastAsia="zh-CN"/>
              </w:rPr>
              <w:t>较大</w:t>
            </w:r>
          </w:p>
        </w:tc>
        <w:tc>
          <w:tcPr>
            <w:tcW w:w="1616" w:type="dxa"/>
            <w:tcBorders>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2"/>
                <w:szCs w:val="22"/>
                <w:highlight w:val="none"/>
                <w:lang w:eastAsia="zh-CN"/>
              </w:rPr>
            </w:pPr>
            <w:r>
              <w:rPr>
                <w:rFonts w:hint="eastAsia" w:ascii="宋体" w:hAnsi="宋体" w:eastAsia="宋体" w:cs="宋体"/>
                <w:b/>
                <w:color w:val="auto"/>
                <w:kern w:val="2"/>
                <w:sz w:val="22"/>
                <w:szCs w:val="22"/>
                <w:highlight w:val="none"/>
                <w:lang w:eastAsia="zh-CN"/>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5" w:hRule="atLeas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
                <w:kern w:val="2"/>
                <w:sz w:val="22"/>
                <w:szCs w:val="22"/>
                <w:highlight w:val="none"/>
                <w:lang w:eastAsia="zh-CN"/>
              </w:rPr>
            </w:pPr>
            <w:r>
              <w:rPr>
                <w:rFonts w:hint="eastAsia" w:ascii="宋体" w:hAnsi="宋体" w:eastAsia="宋体" w:cs="宋体"/>
                <w:b/>
                <w:color w:val="auto"/>
                <w:spacing w:val="1"/>
                <w:kern w:val="2"/>
                <w:sz w:val="22"/>
                <w:szCs w:val="22"/>
                <w:highlight w:val="none"/>
                <w:lang w:eastAsia="zh-CN"/>
              </w:rPr>
              <w:t>肺鼠疫、肺炭疽</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1"/>
                <w:kern w:val="2"/>
                <w:sz w:val="22"/>
                <w:szCs w:val="22"/>
                <w:highlight w:val="none"/>
                <w:lang w:eastAsia="zh-CN"/>
              </w:rPr>
            </w:pPr>
            <w:r>
              <w:rPr>
                <w:rFonts w:hint="eastAsia" w:ascii="宋体" w:hAnsi="宋体" w:eastAsia="宋体" w:cs="宋体"/>
                <w:b/>
                <w:color w:val="auto"/>
                <w:spacing w:val="11"/>
                <w:kern w:val="2"/>
                <w:sz w:val="22"/>
                <w:szCs w:val="22"/>
                <w:highlight w:val="none"/>
                <w:lang w:eastAsia="zh-CN"/>
              </w:rPr>
              <w:t>在大中城市发生</w:t>
            </w:r>
            <w:r>
              <w:rPr>
                <w:rFonts w:hint="eastAsia" w:ascii="宋体" w:hAnsi="宋体" w:eastAsia="宋体" w:cs="宋体"/>
                <w:b/>
                <w:color w:val="auto"/>
                <w:spacing w:val="11"/>
                <w:kern w:val="2"/>
                <w:sz w:val="22"/>
                <w:szCs w:val="22"/>
                <w:highlight w:val="none"/>
                <w:lang w:val="en-US" w:eastAsia="zh-CN"/>
              </w:rPr>
              <w:t>/</w:t>
            </w:r>
            <w:r>
              <w:rPr>
                <w:rFonts w:hint="eastAsia" w:ascii="宋体" w:hAnsi="宋体" w:eastAsia="宋体" w:cs="宋体"/>
                <w:b/>
                <w:color w:val="auto"/>
                <w:spacing w:val="11"/>
                <w:kern w:val="2"/>
                <w:sz w:val="22"/>
                <w:szCs w:val="22"/>
                <w:highlight w:val="none"/>
                <w:lang w:eastAsia="zh-CN"/>
              </w:rPr>
              <w:t>波及2省以上</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1"/>
                <w:kern w:val="2"/>
                <w:sz w:val="22"/>
                <w:szCs w:val="22"/>
                <w:highlight w:val="none"/>
                <w:lang w:eastAsia="zh-CN"/>
              </w:rPr>
            </w:pPr>
            <w:r>
              <w:rPr>
                <w:rFonts w:hint="eastAsia" w:ascii="宋体" w:hAnsi="宋体" w:eastAsia="宋体" w:cs="宋体"/>
                <w:b/>
                <w:color w:val="auto"/>
                <w:spacing w:val="11"/>
                <w:kern w:val="2"/>
                <w:sz w:val="22"/>
                <w:szCs w:val="22"/>
                <w:highlight w:val="none"/>
                <w:lang w:eastAsia="zh-CN"/>
              </w:rPr>
              <w:t>1个县/6天内5例以上</w:t>
            </w:r>
            <w:r>
              <w:rPr>
                <w:rFonts w:hint="eastAsia" w:ascii="宋体" w:hAnsi="宋体" w:eastAsia="宋体" w:cs="宋体"/>
                <w:b/>
                <w:color w:val="auto"/>
                <w:spacing w:val="11"/>
                <w:kern w:val="2"/>
                <w:sz w:val="22"/>
                <w:szCs w:val="22"/>
                <w:highlight w:val="none"/>
                <w:lang w:val="en-US" w:eastAsia="zh-CN"/>
              </w:rPr>
              <w:t>/</w:t>
            </w:r>
            <w:r>
              <w:rPr>
                <w:rFonts w:hint="eastAsia" w:ascii="宋体" w:hAnsi="宋体" w:eastAsia="宋体" w:cs="宋体"/>
                <w:b/>
                <w:color w:val="auto"/>
                <w:spacing w:val="11"/>
                <w:kern w:val="2"/>
                <w:sz w:val="22"/>
                <w:szCs w:val="22"/>
                <w:highlight w:val="none"/>
                <w:lang w:eastAsia="zh-CN"/>
              </w:rPr>
              <w:t>波及2个县以上</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1"/>
                <w:kern w:val="2"/>
                <w:sz w:val="22"/>
                <w:szCs w:val="22"/>
                <w:highlight w:val="none"/>
                <w:lang w:eastAsia="zh-CN"/>
              </w:rPr>
            </w:pPr>
            <w:r>
              <w:rPr>
                <w:rFonts w:hint="eastAsia" w:ascii="宋体" w:hAnsi="宋体" w:eastAsia="宋体" w:cs="宋体"/>
                <w:b/>
                <w:color w:val="auto"/>
                <w:spacing w:val="11"/>
                <w:kern w:val="2"/>
                <w:sz w:val="22"/>
                <w:szCs w:val="22"/>
                <w:highlight w:val="none"/>
                <w:lang w:eastAsia="zh-CN"/>
              </w:rPr>
              <w:t>1个县/6天内5例以下</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2"/>
                <w:szCs w:val="22"/>
                <w:highlight w:val="none"/>
                <w:lang w:eastAsia="zh-CN"/>
              </w:rPr>
            </w:pPr>
            <w:r>
              <w:rPr>
                <w:rFonts w:hint="eastAsia" w:ascii="宋体" w:hAnsi="宋体" w:eastAsia="宋体" w:cs="宋体"/>
                <w:b/>
                <w:color w:val="auto"/>
                <w:kern w:val="2"/>
                <w:sz w:val="22"/>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
                <w:kern w:val="2"/>
                <w:sz w:val="22"/>
                <w:szCs w:val="22"/>
                <w:highlight w:val="none"/>
                <w:lang w:eastAsia="zh-CN"/>
              </w:rPr>
            </w:pPr>
            <w:r>
              <w:rPr>
                <w:rFonts w:hint="eastAsia" w:ascii="宋体" w:hAnsi="宋体" w:eastAsia="宋体" w:cs="宋体"/>
                <w:b/>
                <w:color w:val="auto"/>
                <w:spacing w:val="1"/>
                <w:kern w:val="2"/>
                <w:sz w:val="22"/>
                <w:szCs w:val="22"/>
                <w:highlight w:val="none"/>
              </w:rPr>
              <w:t>非典、人感染高致群体不明原因疾病</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1"/>
                <w:kern w:val="2"/>
                <w:sz w:val="22"/>
                <w:szCs w:val="22"/>
                <w:highlight w:val="none"/>
                <w:lang w:eastAsia="zh-CN"/>
              </w:rPr>
            </w:pPr>
            <w:r>
              <w:rPr>
                <w:rFonts w:hint="eastAsia" w:ascii="宋体" w:hAnsi="宋体" w:eastAsia="宋体" w:cs="宋体"/>
                <w:b/>
                <w:color w:val="auto"/>
                <w:spacing w:val="11"/>
                <w:kern w:val="2"/>
                <w:sz w:val="22"/>
                <w:szCs w:val="22"/>
                <w:highlight w:val="none"/>
              </w:rPr>
              <w:t>发生病例有涉及多个省份且有扩散趋势</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1"/>
                <w:kern w:val="2"/>
                <w:sz w:val="22"/>
                <w:szCs w:val="22"/>
                <w:highlight w:val="none"/>
              </w:rPr>
            </w:pPr>
            <w:r>
              <w:rPr>
                <w:rFonts w:hint="eastAsia" w:ascii="宋体" w:hAnsi="宋体" w:eastAsia="宋体" w:cs="宋体"/>
                <w:b/>
                <w:color w:val="auto"/>
                <w:spacing w:val="11"/>
                <w:kern w:val="2"/>
                <w:sz w:val="22"/>
                <w:szCs w:val="22"/>
                <w:highlight w:val="none"/>
              </w:rPr>
              <w:t>发生病例扩散到县</w:t>
            </w:r>
            <w:r>
              <w:rPr>
                <w:rFonts w:hint="eastAsia" w:ascii="宋体" w:hAnsi="宋体" w:eastAsia="宋体" w:cs="宋体"/>
                <w:b/>
                <w:color w:val="auto"/>
                <w:spacing w:val="11"/>
                <w:kern w:val="2"/>
                <w:sz w:val="22"/>
                <w:szCs w:val="22"/>
                <w:highlight w:val="none"/>
                <w:lang w:eastAsia="zh-CN"/>
              </w:rPr>
              <w:t>（</w:t>
            </w:r>
            <w:r>
              <w:rPr>
                <w:rFonts w:hint="eastAsia" w:ascii="宋体" w:hAnsi="宋体" w:eastAsia="宋体" w:cs="宋体"/>
                <w:b/>
                <w:color w:val="auto"/>
                <w:spacing w:val="11"/>
                <w:kern w:val="2"/>
                <w:sz w:val="22"/>
                <w:szCs w:val="22"/>
                <w:highlight w:val="none"/>
              </w:rPr>
              <w:t>市）外地</w:t>
            </w:r>
          </w:p>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1"/>
                <w:kern w:val="2"/>
                <w:sz w:val="22"/>
                <w:szCs w:val="22"/>
                <w:highlight w:val="none"/>
                <w:lang w:eastAsia="zh-CN"/>
              </w:rPr>
            </w:pPr>
            <w:r>
              <w:rPr>
                <w:rFonts w:hint="eastAsia" w:ascii="宋体" w:hAnsi="宋体" w:eastAsia="宋体" w:cs="宋体"/>
                <w:b/>
                <w:color w:val="auto"/>
                <w:spacing w:val="11"/>
                <w:kern w:val="2"/>
                <w:sz w:val="22"/>
                <w:szCs w:val="22"/>
                <w:highlight w:val="none"/>
              </w:rPr>
              <w:t>区</w:t>
            </w:r>
            <w:r>
              <w:rPr>
                <w:rFonts w:hint="eastAsia" w:ascii="宋体" w:hAnsi="宋体" w:eastAsia="宋体" w:cs="宋体"/>
                <w:b/>
                <w:color w:val="auto"/>
                <w:spacing w:val="11"/>
                <w:kern w:val="2"/>
                <w:sz w:val="22"/>
                <w:szCs w:val="22"/>
                <w:highlight w:val="none"/>
                <w:lang w:eastAsia="zh-CN"/>
              </w:rPr>
              <w:t>且有扩散趋势</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1"/>
                <w:kern w:val="2"/>
                <w:sz w:val="22"/>
                <w:szCs w:val="22"/>
                <w:highlight w:val="none"/>
                <w:lang w:eastAsia="zh-CN"/>
              </w:rPr>
            </w:pPr>
            <w:r>
              <w:rPr>
                <w:rFonts w:hint="eastAsia" w:ascii="宋体" w:hAnsi="宋体" w:eastAsia="宋体" w:cs="宋体"/>
                <w:b/>
                <w:color w:val="auto"/>
                <w:spacing w:val="11"/>
                <w:kern w:val="2"/>
                <w:sz w:val="22"/>
                <w:szCs w:val="22"/>
                <w:highlight w:val="none"/>
                <w:lang w:eastAsia="zh-CN"/>
              </w:rPr>
              <w:t>1个县（市）内发现</w:t>
            </w:r>
            <w:r>
              <w:rPr>
                <w:rFonts w:hint="eastAsia" w:ascii="宋体" w:hAnsi="宋体" w:eastAsia="宋体" w:cs="宋体"/>
                <w:b/>
                <w:color w:val="auto"/>
                <w:spacing w:val="11"/>
                <w:kern w:val="2"/>
                <w:sz w:val="22"/>
                <w:szCs w:val="22"/>
                <w:highlight w:val="none"/>
              </w:rPr>
              <w:t>发生病例</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color w:val="auto"/>
                <w:kern w:val="2"/>
                <w:sz w:val="22"/>
                <w:szCs w:val="22"/>
                <w:highlight w:val="none"/>
                <w:lang w:eastAsia="zh-CN"/>
              </w:rPr>
            </w:pPr>
            <w:r>
              <w:rPr>
                <w:rFonts w:hint="eastAsia" w:ascii="宋体" w:hAnsi="宋体" w:eastAsia="宋体" w:cs="宋体"/>
                <w:b/>
                <w:color w:val="auto"/>
                <w:kern w:val="2"/>
                <w:sz w:val="22"/>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
                <w:kern w:val="2"/>
                <w:sz w:val="22"/>
                <w:szCs w:val="22"/>
                <w:highlight w:val="none"/>
              </w:rPr>
            </w:pPr>
            <w:r>
              <w:rPr>
                <w:rFonts w:hint="eastAsia" w:ascii="宋体" w:hAnsi="宋体" w:eastAsia="宋体" w:cs="宋体"/>
                <w:b/>
                <w:color w:val="auto"/>
                <w:spacing w:val="11"/>
                <w:kern w:val="2"/>
                <w:sz w:val="22"/>
                <w:szCs w:val="22"/>
                <w:highlight w:val="none"/>
              </w:rPr>
              <w:t>预防接种/群体预</w:t>
            </w:r>
            <w:r>
              <w:rPr>
                <w:rFonts w:hint="eastAsia" w:ascii="宋体" w:hAnsi="宋体" w:eastAsia="宋体" w:cs="宋体"/>
                <w:b/>
                <w:color w:val="auto"/>
                <w:spacing w:val="11"/>
                <w:w w:val="95"/>
                <w:kern w:val="2"/>
                <w:sz w:val="22"/>
                <w:szCs w:val="22"/>
                <w:highlight w:val="none"/>
              </w:rPr>
              <w:t>防性服药</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spacing w:val="11"/>
                <w:kern w:val="2"/>
                <w:sz w:val="22"/>
                <w:szCs w:val="22"/>
                <w:highlight w:val="none"/>
              </w:rPr>
            </w:pPr>
            <w:r>
              <w:rPr>
                <w:rFonts w:hint="eastAsia" w:ascii="宋体" w:hAnsi="宋体" w:eastAsia="宋体" w:cs="宋体"/>
                <w:b/>
                <w:color w:val="auto"/>
                <w:spacing w:val="11"/>
                <w:kern w:val="2"/>
                <w:sz w:val="22"/>
                <w:szCs w:val="22"/>
                <w:highlight w:val="none"/>
              </w:rPr>
              <w:t>——</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spacing w:val="11"/>
                <w:kern w:val="2"/>
                <w:sz w:val="22"/>
                <w:szCs w:val="22"/>
                <w:highlight w:val="none"/>
              </w:rPr>
            </w:pPr>
            <w:r>
              <w:rPr>
                <w:rFonts w:hint="eastAsia" w:ascii="宋体" w:hAnsi="宋体" w:eastAsia="宋体" w:cs="宋体"/>
                <w:b/>
                <w:color w:val="auto"/>
                <w:spacing w:val="11"/>
                <w:kern w:val="2"/>
                <w:sz w:val="22"/>
                <w:szCs w:val="22"/>
                <w:highlight w:val="none"/>
              </w:rPr>
              <w:t>出现死亡</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宋体"/>
                <w:b/>
                <w:color w:val="auto"/>
                <w:spacing w:val="11"/>
                <w:kern w:val="2"/>
                <w:sz w:val="22"/>
                <w:szCs w:val="22"/>
                <w:highlight w:val="none"/>
                <w:lang w:eastAsia="zh-CN"/>
              </w:rPr>
            </w:pPr>
            <w:r>
              <w:rPr>
                <w:rFonts w:hint="eastAsia" w:ascii="宋体" w:hAnsi="宋体" w:eastAsia="宋体" w:cs="宋体"/>
                <w:b/>
                <w:color w:val="auto"/>
                <w:spacing w:val="11"/>
                <w:kern w:val="2"/>
                <w:sz w:val="22"/>
                <w:szCs w:val="22"/>
                <w:highlight w:val="none"/>
              </w:rPr>
              <w:t>出现群体心因性反应或不良反应</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宋体"/>
                <w:b/>
                <w:color w:val="auto"/>
                <w:kern w:val="2"/>
                <w:sz w:val="22"/>
                <w:szCs w:val="22"/>
                <w:highlight w:val="none"/>
              </w:rPr>
            </w:pPr>
            <w:r>
              <w:rPr>
                <w:rFonts w:hint="eastAsia" w:ascii="宋体" w:hAnsi="宋体" w:eastAsia="宋体" w:cs="宋体"/>
                <w:b/>
                <w:color w:val="auto"/>
                <w:spacing w:val="11"/>
                <w:kern w:val="2"/>
                <w:sz w:val="22"/>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9" w:hRule="exac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rPr>
              <w:t>病毒丢</w:t>
            </w:r>
            <w:r>
              <w:rPr>
                <w:rFonts w:hint="eastAsia" w:ascii="宋体" w:hAnsi="宋体" w:eastAsia="宋体" w:cs="Calibri"/>
                <w:b/>
                <w:color w:val="auto"/>
                <w:spacing w:val="11"/>
                <w:w w:val="95"/>
                <w:kern w:val="2"/>
                <w:sz w:val="21"/>
                <w:szCs w:val="21"/>
                <w:highlight w:val="none"/>
              </w:rPr>
              <w:t>失、传播</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lang w:val="en-US" w:eastAsia="zh-CN"/>
              </w:rPr>
              <w:t>发生烈性病菌株、毒株、致病因子丢失事件</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匿运、邮寄烈性生物病原体、毒素造成感染/死亡</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cs="Calibri"/>
                <w:b/>
                <w:color w:val="auto"/>
                <w:spacing w:val="11"/>
                <w:kern w:val="2"/>
                <w:sz w:val="21"/>
                <w:szCs w:val="21"/>
                <w:highlight w:val="none"/>
                <w:lang w:val="en-US" w:eastAsia="zh-CN"/>
              </w:rPr>
            </w:pPr>
            <w:r>
              <w:rPr>
                <w:rFonts w:hint="default" w:ascii="Arial" w:hAnsi="Arial" w:eastAsia="宋体" w:cs="Calibri"/>
                <w:b/>
                <w:color w:val="auto"/>
                <w:spacing w:val="11"/>
                <w:kern w:val="2"/>
                <w:sz w:val="21"/>
                <w:szCs w:val="21"/>
                <w:highlight w:val="none"/>
              </w:rPr>
              <w:t>——</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cs="Calibri"/>
                <w:b/>
                <w:color w:val="auto"/>
                <w:spacing w:val="11"/>
                <w:kern w:val="2"/>
                <w:sz w:val="21"/>
                <w:szCs w:val="21"/>
                <w:highlight w:val="none"/>
                <w:lang w:val="en-US" w:eastAsia="zh-CN"/>
              </w:rPr>
            </w:pPr>
            <w:r>
              <w:rPr>
                <w:rFonts w:hint="default" w:ascii="Arial" w:hAnsi="Arial" w:eastAsia="宋体" w:cs="Calibri"/>
                <w:b/>
                <w:color w:val="auto"/>
                <w:spacing w:val="11"/>
                <w:kern w:val="2"/>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6" w:hRule="exac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rPr>
              <w:t>腺鼠疫</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1个市（地）6天内 多点连续20例以上/波及2市（地）以上</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1县6天内连续10病例以上/波及2 县以上</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1个县（市）6天内10病例以下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exac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rPr>
              <w:t>霍 乱</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1市（地）1周内30病例以上/波及2市以上，有扩散趋势</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1县1周内10-29 例/波及2县（地市）以上城市</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1个县（市）1周内9病例以下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exac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rPr>
              <w:t>疟 疾</w:t>
            </w:r>
          </w:p>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lang w:eastAsia="zh-CN"/>
              </w:rPr>
              <w:t>（</w:t>
            </w:r>
            <w:r>
              <w:rPr>
                <w:rFonts w:hint="eastAsia" w:ascii="宋体" w:hAnsi="宋体" w:eastAsia="宋体" w:cs="Calibri"/>
                <w:b/>
                <w:color w:val="auto"/>
                <w:spacing w:val="11"/>
                <w:kern w:val="2"/>
                <w:sz w:val="21"/>
                <w:szCs w:val="21"/>
                <w:highlight w:val="none"/>
              </w:rPr>
              <w:t>乙）</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Times New Roman" w:hAnsi="Times New Roman" w:eastAsia="Times New Roman" w:cs="Calibri"/>
                <w:color w:val="auto"/>
                <w:spacing w:val="11"/>
                <w:kern w:val="2"/>
                <w:sz w:val="21"/>
                <w:szCs w:val="21"/>
                <w:highlight w:val="none"/>
              </w:rPr>
            </w:pPr>
          </w:p>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2邻县及以上有5 例或以上并有蔓延趋势</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2邻县及以上有蔓延</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1个县（市）内有疫情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4" w:hRule="exac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w w:val="95"/>
                <w:kern w:val="2"/>
                <w:sz w:val="21"/>
                <w:szCs w:val="21"/>
                <w:highlight w:val="none"/>
              </w:rPr>
              <w:t>乙、丙类</w:t>
            </w:r>
            <w:r>
              <w:rPr>
                <w:rFonts w:hint="eastAsia" w:ascii="宋体" w:hAnsi="宋体" w:eastAsia="宋体" w:cs="Calibri"/>
                <w:b/>
                <w:color w:val="auto"/>
                <w:spacing w:val="11"/>
                <w:kern w:val="2"/>
                <w:sz w:val="21"/>
                <w:szCs w:val="21"/>
                <w:highlight w:val="none"/>
              </w:rPr>
              <w:t>传染 病</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波及2个以上县（市），1周内发病水平超过前5年同期平均发病水平2倍以上,并经省以上卫生部门评估认定</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在一个县（市）内，1周内发病水平超过前5年同期平均发病水平1倍以上,并经市（地）以上卫生部门评估认定</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cs="Calibri"/>
                <w:b/>
                <w:color w:val="auto"/>
                <w:spacing w:val="11"/>
                <w:kern w:val="2"/>
                <w:sz w:val="21"/>
                <w:szCs w:val="21"/>
                <w:highlight w:val="none"/>
                <w:lang w:val="en-US" w:eastAsia="zh-CN"/>
              </w:rPr>
            </w:pPr>
            <w:r>
              <w:rPr>
                <w:rFonts w:hint="default" w:ascii="Arial" w:hAnsi="Arial" w:eastAsia="宋体" w:cs="Calibri"/>
                <w:b/>
                <w:color w:val="auto"/>
                <w:spacing w:val="11"/>
                <w:kern w:val="2"/>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exac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rPr>
              <w:t>登 革 热</w:t>
            </w:r>
          </w:p>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lang w:eastAsia="zh-CN"/>
              </w:rPr>
              <w:t>（</w:t>
            </w:r>
            <w:r>
              <w:rPr>
                <w:rFonts w:hint="eastAsia" w:ascii="宋体" w:hAnsi="宋体" w:eastAsia="宋体" w:cs="Calibri"/>
                <w:b/>
                <w:color w:val="auto"/>
                <w:spacing w:val="11"/>
                <w:kern w:val="2"/>
                <w:sz w:val="21"/>
                <w:szCs w:val="21"/>
                <w:highlight w:val="none"/>
              </w:rPr>
              <w:t>乙）</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eastAsia" w:ascii="宋体" w:hAnsi="宋体" w:eastAsia="宋体" w:cs="Calibri"/>
                <w:b/>
                <w:color w:val="auto"/>
                <w:spacing w:val="11"/>
                <w:kern w:val="2"/>
                <w:sz w:val="21"/>
                <w:szCs w:val="21"/>
                <w:highlight w:val="none"/>
                <w:lang w:val="en-US" w:eastAsia="zh-CN"/>
              </w:rPr>
            </w:pPr>
            <w:r>
              <w:rPr>
                <w:rFonts w:hint="default" w:ascii="Arial" w:hAnsi="Arial" w:eastAsia="宋体" w:cs="Calibri"/>
                <w:b/>
                <w:color w:val="auto"/>
                <w:spacing w:val="11"/>
                <w:kern w:val="2"/>
                <w:sz w:val="21"/>
                <w:szCs w:val="21"/>
                <w:highlight w:val="none"/>
              </w:rPr>
              <w:t>——</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1县1周内10病例以下</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2年后首次发 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exac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rPr>
              <w:t>食物中毒</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超过100人并有人死亡；或死亡10例以上</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超过100人；或有死亡病例</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宋体" w:hAnsi="宋体" w:eastAsia="宋体" w:cs="Calibri"/>
                <w:b/>
                <w:color w:val="auto"/>
                <w:spacing w:val="11"/>
                <w:kern w:val="2"/>
                <w:sz w:val="21"/>
                <w:szCs w:val="21"/>
                <w:highlight w:val="none"/>
                <w:lang w:val="en-US" w:eastAsia="zh-CN"/>
              </w:rPr>
            </w:pPr>
            <w:r>
              <w:rPr>
                <w:rFonts w:hint="eastAsia" w:ascii="宋体" w:hAnsi="宋体" w:eastAsia="宋体" w:cs="Calibri"/>
                <w:b/>
                <w:color w:val="auto"/>
                <w:spacing w:val="11"/>
                <w:kern w:val="2"/>
                <w:sz w:val="21"/>
                <w:szCs w:val="21"/>
                <w:highlight w:val="none"/>
                <w:lang w:val="en-US" w:eastAsia="zh-CN"/>
              </w:rPr>
              <w:t>30-99人，无死亡病例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exac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rPr>
              <w:t>急性职业中毒</w:t>
            </w:r>
          </w:p>
        </w:tc>
        <w:tc>
          <w:tcPr>
            <w:tcW w:w="1849" w:type="dxa"/>
            <w:tcBorders>
              <w:tl2br w:val="nil"/>
              <w:tr2bl w:val="nil"/>
            </w:tcBorders>
            <w:noWrap w:val="0"/>
            <w:vAlign w:val="center"/>
          </w:tcPr>
          <w:p>
            <w:pPr>
              <w:pStyle w:val="12"/>
              <w:widowControl w:val="0"/>
              <w:tabs>
                <w:tab w:val="left" w:pos="1793"/>
              </w:tabs>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eastAsia" w:ascii="Calibri" w:hAnsi="Calibri" w:eastAsia="宋体" w:cs="Calibri"/>
                <w:color w:val="auto"/>
                <w:spacing w:val="11"/>
                <w:kern w:val="2"/>
                <w:sz w:val="21"/>
                <w:szCs w:val="21"/>
                <w:highlight w:val="none"/>
                <w:lang w:val="en-US" w:eastAsia="zh-CN"/>
              </w:rPr>
            </w:pPr>
            <w:r>
              <w:rPr>
                <w:rFonts w:hint="default" w:ascii="Calibri" w:hAnsi="Calibri" w:eastAsia="Calibri" w:cs="Calibri"/>
                <w:b/>
                <w:color w:val="auto"/>
                <w:spacing w:val="11"/>
                <w:kern w:val="2"/>
                <w:sz w:val="21"/>
                <w:szCs w:val="21"/>
                <w:highlight w:val="none"/>
              </w:rPr>
              <w:t>5</w:t>
            </w:r>
            <w:r>
              <w:rPr>
                <w:rFonts w:hint="eastAsia" w:ascii="宋体" w:hAnsi="宋体" w:eastAsia="宋体" w:cs="Calibri"/>
                <w:b/>
                <w:color w:val="auto"/>
                <w:spacing w:val="11"/>
                <w:kern w:val="2"/>
                <w:sz w:val="21"/>
                <w:szCs w:val="21"/>
                <w:highlight w:val="none"/>
                <w:lang w:val="en-US" w:eastAsia="zh-CN"/>
              </w:rPr>
              <w:t>5</w:t>
            </w:r>
            <w:r>
              <w:rPr>
                <w:rFonts w:hint="eastAsia" w:ascii="宋体" w:hAnsi="宋体" w:eastAsia="宋体" w:cs="Calibri"/>
                <w:b/>
                <w:color w:val="auto"/>
                <w:spacing w:val="11"/>
                <w:kern w:val="2"/>
                <w:sz w:val="21"/>
                <w:szCs w:val="21"/>
                <w:highlight w:val="none"/>
              </w:rPr>
              <w:t>0人以上/死亡≥5</w:t>
            </w:r>
            <w:r>
              <w:rPr>
                <w:rFonts w:hint="eastAsia" w:ascii="宋体" w:hAnsi="宋体" w:eastAsia="宋体" w:cs="Calibri"/>
                <w:b/>
                <w:color w:val="auto"/>
                <w:spacing w:val="11"/>
                <w:kern w:val="2"/>
                <w:sz w:val="21"/>
                <w:szCs w:val="21"/>
                <w:highlight w:val="none"/>
                <w:lang w:eastAsia="zh-CN"/>
              </w:rPr>
              <w:t>人</w:t>
            </w:r>
          </w:p>
          <w:p>
            <w:pPr>
              <w:pStyle w:val="12"/>
              <w:widowControl w:val="0"/>
              <w:tabs>
                <w:tab w:val="left" w:pos="1793"/>
              </w:tabs>
              <w:kinsoku w:val="0"/>
              <w:wordWrap/>
              <w:overflowPunct w:val="0"/>
              <w:adjustRightInd/>
              <w:snapToGrid/>
              <w:spacing w:before="0" w:beforeAutospacing="0" w:after="0" w:afterAutospacing="0" w:line="300" w:lineRule="exact"/>
              <w:ind w:left="0" w:right="0" w:firstLine="0" w:firstLineChars="0"/>
              <w:textAlignment w:val="auto"/>
              <w:outlineLvl w:val="9"/>
              <w:rPr>
                <w:rFonts w:hint="default" w:ascii="Arial" w:hAnsi="Arial" w:eastAsia="宋体" w:cs="Calibri"/>
                <w:b/>
                <w:color w:val="auto"/>
                <w:spacing w:val="11"/>
                <w:kern w:val="2"/>
                <w:sz w:val="21"/>
                <w:szCs w:val="21"/>
                <w:highlight w:val="none"/>
              </w:rPr>
            </w:pP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default" w:ascii="Calibri" w:hAnsi="Calibri" w:cs="Calibri"/>
                <w:color w:val="auto"/>
                <w:spacing w:val="11"/>
                <w:kern w:val="2"/>
                <w:sz w:val="21"/>
                <w:szCs w:val="21"/>
                <w:highlight w:val="none"/>
              </w:rPr>
            </w:pPr>
            <w:r>
              <w:rPr>
                <w:rFonts w:hint="default" w:ascii="Calibri" w:hAnsi="Calibri" w:eastAsia="Calibri" w:cs="Calibri"/>
                <w:b/>
                <w:color w:val="auto"/>
                <w:spacing w:val="11"/>
                <w:kern w:val="2"/>
                <w:sz w:val="21"/>
                <w:szCs w:val="21"/>
                <w:highlight w:val="none"/>
              </w:rPr>
              <w:t>10~49</w:t>
            </w:r>
            <w:r>
              <w:rPr>
                <w:rFonts w:hint="eastAsia" w:ascii="宋体" w:hAnsi="宋体" w:eastAsia="宋体" w:cs="Calibri"/>
                <w:b/>
                <w:color w:val="auto"/>
                <w:spacing w:val="11"/>
                <w:kern w:val="2"/>
                <w:sz w:val="21"/>
                <w:szCs w:val="21"/>
                <w:highlight w:val="none"/>
              </w:rPr>
              <w:t>人</w:t>
            </w:r>
            <w:r>
              <w:rPr>
                <w:rFonts w:hint="default" w:ascii="Calibri" w:hAnsi="Calibri" w:eastAsia="Calibri" w:cs="Calibri"/>
                <w:b/>
                <w:color w:val="auto"/>
                <w:spacing w:val="11"/>
                <w:kern w:val="2"/>
                <w:sz w:val="21"/>
                <w:szCs w:val="21"/>
                <w:highlight w:val="none"/>
              </w:rPr>
              <w:t>/</w:t>
            </w:r>
            <w:r>
              <w:rPr>
                <w:rFonts w:hint="eastAsia" w:ascii="宋体" w:hAnsi="宋体" w:eastAsia="宋体" w:cs="Calibri"/>
                <w:b/>
                <w:color w:val="auto"/>
                <w:spacing w:val="11"/>
                <w:kern w:val="2"/>
                <w:sz w:val="21"/>
                <w:szCs w:val="21"/>
                <w:highlight w:val="none"/>
              </w:rPr>
              <w:t xml:space="preserve">死亡 </w:t>
            </w:r>
            <w:r>
              <w:rPr>
                <w:rFonts w:hint="default" w:ascii="Calibri" w:hAnsi="Calibri" w:eastAsia="Calibri" w:cs="Calibri"/>
                <w:b/>
                <w:color w:val="auto"/>
                <w:spacing w:val="11"/>
                <w:kern w:val="2"/>
                <w:sz w:val="21"/>
                <w:szCs w:val="21"/>
                <w:highlight w:val="none"/>
              </w:rPr>
              <w:t>1—4</w:t>
            </w:r>
            <w:r>
              <w:rPr>
                <w:rFonts w:hint="eastAsia" w:ascii="宋体" w:hAnsi="宋体" w:eastAsia="宋体" w:cs="Calibri"/>
                <w:b/>
                <w:color w:val="auto"/>
                <w:spacing w:val="11"/>
                <w:kern w:val="2"/>
                <w:sz w:val="21"/>
                <w:szCs w:val="21"/>
                <w:highlight w:val="none"/>
              </w:rPr>
              <w:t>人</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default" w:ascii="Calibri" w:hAnsi="Calibri" w:cs="Calibri"/>
                <w:color w:val="auto"/>
                <w:spacing w:val="11"/>
                <w:kern w:val="2"/>
                <w:sz w:val="21"/>
                <w:szCs w:val="21"/>
                <w:highlight w:val="none"/>
              </w:rPr>
            </w:pPr>
            <w:r>
              <w:rPr>
                <w:rFonts w:hint="default" w:ascii="Calibri" w:hAnsi="Calibri" w:eastAsia="Calibri" w:cs="Calibri"/>
                <w:b/>
                <w:color w:val="auto"/>
                <w:spacing w:val="11"/>
                <w:kern w:val="2"/>
                <w:sz w:val="21"/>
                <w:szCs w:val="21"/>
                <w:highlight w:val="none"/>
              </w:rPr>
              <w:t>1—9</w:t>
            </w:r>
            <w:r>
              <w:rPr>
                <w:rFonts w:hint="eastAsia" w:ascii="宋体" w:hAnsi="宋体" w:eastAsia="宋体" w:cs="Calibri"/>
                <w:b/>
                <w:color w:val="auto"/>
                <w:spacing w:val="11"/>
                <w:kern w:val="2"/>
                <w:sz w:val="21"/>
                <w:szCs w:val="21"/>
                <w:highlight w:val="none"/>
              </w:rPr>
              <w:t>人，无死亡病例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exact"/>
          <w:jc w:val="center"/>
        </w:trPr>
        <w:tc>
          <w:tcPr>
            <w:tcW w:w="1754"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rPr>
              <w:t>其它</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center"/>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c>
          <w:tcPr>
            <w:tcW w:w="1849"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textAlignment w:val="auto"/>
              <w:outlineLvl w:val="9"/>
              <w:rPr>
                <w:rFonts w:hint="default" w:ascii="Calibri" w:hAnsi="Calibri" w:cs="Calibri"/>
                <w:color w:val="auto"/>
                <w:spacing w:val="11"/>
                <w:kern w:val="2"/>
                <w:sz w:val="21"/>
                <w:szCs w:val="21"/>
                <w:highlight w:val="none"/>
              </w:rPr>
            </w:pPr>
            <w:r>
              <w:rPr>
                <w:rFonts w:hint="eastAsia" w:ascii="宋体" w:hAnsi="宋体" w:eastAsia="宋体" w:cs="Calibri"/>
                <w:b/>
                <w:color w:val="auto"/>
                <w:spacing w:val="11"/>
                <w:kern w:val="2"/>
                <w:sz w:val="21"/>
                <w:szCs w:val="21"/>
                <w:highlight w:val="none"/>
                <w:lang w:val="en-US" w:eastAsia="zh-CN"/>
              </w:rPr>
              <w:t>发生重大医源性感染事件</w:t>
            </w:r>
          </w:p>
        </w:tc>
        <w:tc>
          <w:tcPr>
            <w:tcW w:w="196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both"/>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c>
          <w:tcPr>
            <w:tcW w:w="1616"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00" w:lineRule="exact"/>
              <w:ind w:left="0" w:right="0" w:firstLine="0" w:firstLineChars="0"/>
              <w:jc w:val="both"/>
              <w:textAlignment w:val="auto"/>
              <w:outlineLvl w:val="9"/>
              <w:rPr>
                <w:rFonts w:hint="default" w:ascii="Calibri" w:hAnsi="Calibri" w:cs="Calibri"/>
                <w:color w:val="auto"/>
                <w:spacing w:val="11"/>
                <w:kern w:val="2"/>
                <w:sz w:val="21"/>
                <w:szCs w:val="21"/>
                <w:highlight w:val="none"/>
              </w:rPr>
            </w:pPr>
            <w:r>
              <w:rPr>
                <w:rFonts w:hint="default" w:ascii="Arial" w:hAnsi="Arial" w:eastAsia="宋体" w:cs="Calibri"/>
                <w:b/>
                <w:color w:val="auto"/>
                <w:spacing w:val="11"/>
                <w:kern w:val="2"/>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6" w:hRule="exact"/>
          <w:jc w:val="center"/>
        </w:trPr>
        <w:tc>
          <w:tcPr>
            <w:tcW w:w="1754" w:type="dxa"/>
            <w:tcBorders>
              <w:tl2br w:val="nil"/>
              <w:tr2bl w:val="nil"/>
            </w:tcBorders>
            <w:noWrap w:val="0"/>
            <w:vAlign w:val="center"/>
          </w:tcPr>
          <w:p>
            <w:pPr>
              <w:pStyle w:val="12"/>
              <w:kinsoku w:val="0"/>
              <w:overflowPunct w:val="0"/>
              <w:spacing w:before="0" w:beforeAutospacing="0" w:after="0" w:afterAutospacing="0" w:line="300" w:lineRule="exact"/>
              <w:ind w:left="0" w:leftChars="0" w:right="0" w:firstLine="0" w:firstLineChars="0"/>
              <w:jc w:val="both"/>
              <w:outlineLvl w:val="9"/>
              <w:rPr>
                <w:rFonts w:hint="default" w:ascii="Calibri" w:hAnsi="Calibri" w:cs="Calibri"/>
                <w:color w:val="auto"/>
                <w:spacing w:val="11"/>
                <w:kern w:val="2"/>
                <w:sz w:val="21"/>
                <w:szCs w:val="22"/>
                <w:highlight w:val="none"/>
              </w:rPr>
            </w:pPr>
            <w:r>
              <w:rPr>
                <w:rFonts w:hint="eastAsia" w:ascii="宋体" w:hAnsi="宋体" w:eastAsia="宋体" w:cs="Calibri"/>
                <w:b/>
                <w:color w:val="auto"/>
                <w:spacing w:val="11"/>
                <w:kern w:val="2"/>
                <w:sz w:val="21"/>
                <w:szCs w:val="22"/>
                <w:highlight w:val="none"/>
              </w:rPr>
              <w:t>输入性传染病例等</w:t>
            </w:r>
            <w:r>
              <w:rPr>
                <w:rFonts w:hint="eastAsia" w:ascii="宋体" w:hAnsi="宋体" w:eastAsia="宋体" w:cs="Calibri"/>
                <w:b/>
                <w:color w:val="auto"/>
                <w:spacing w:val="11"/>
                <w:w w:val="99"/>
                <w:kern w:val="2"/>
                <w:sz w:val="21"/>
                <w:szCs w:val="22"/>
                <w:highlight w:val="none"/>
              </w:rPr>
              <w:t xml:space="preserve"> </w:t>
            </w:r>
            <w:r>
              <w:rPr>
                <w:rFonts w:hint="eastAsia" w:ascii="宋体" w:hAnsi="宋体" w:eastAsia="宋体" w:cs="Calibri"/>
                <w:b/>
                <w:color w:val="auto"/>
                <w:spacing w:val="11"/>
                <w:kern w:val="2"/>
                <w:sz w:val="21"/>
                <w:szCs w:val="22"/>
                <w:highlight w:val="none"/>
              </w:rPr>
              <w:t>其它特大事件</w:t>
            </w:r>
          </w:p>
        </w:tc>
        <w:tc>
          <w:tcPr>
            <w:tcW w:w="7280" w:type="dxa"/>
            <w:gridSpan w:val="4"/>
            <w:tcBorders>
              <w:tl2br w:val="nil"/>
              <w:tr2bl w:val="nil"/>
            </w:tcBorders>
            <w:noWrap w:val="0"/>
            <w:vAlign w:val="center"/>
          </w:tcPr>
          <w:p>
            <w:pPr>
              <w:pStyle w:val="12"/>
              <w:kinsoku w:val="0"/>
              <w:overflowPunct w:val="0"/>
              <w:spacing w:before="0" w:beforeAutospacing="0" w:after="0" w:afterAutospacing="0" w:line="300" w:lineRule="exact"/>
              <w:ind w:left="0" w:right="0"/>
              <w:outlineLvl w:val="9"/>
              <w:rPr>
                <w:rFonts w:hint="default" w:ascii="Calibri" w:hAnsi="Calibri" w:cs="Calibri"/>
                <w:color w:val="auto"/>
                <w:spacing w:val="11"/>
                <w:kern w:val="2"/>
                <w:sz w:val="21"/>
                <w:szCs w:val="22"/>
                <w:highlight w:val="none"/>
              </w:rPr>
            </w:pPr>
            <w:r>
              <w:rPr>
                <w:rFonts w:hint="eastAsia" w:ascii="宋体" w:hAnsi="宋体" w:eastAsia="宋体" w:cs="Calibri"/>
                <w:b/>
                <w:color w:val="auto"/>
                <w:spacing w:val="11"/>
                <w:kern w:val="2"/>
                <w:sz w:val="21"/>
                <w:szCs w:val="22"/>
                <w:highlight w:val="none"/>
              </w:rPr>
              <w:t>◆周边以及与我国通航的国家和地区发生特大传染病疫情，并出现输入性病例</w:t>
            </w:r>
            <w:r>
              <w:rPr>
                <w:rFonts w:hint="eastAsia" w:ascii="宋体" w:hAnsi="宋体" w:eastAsia="宋体" w:cs="Calibri"/>
                <w:b/>
                <w:color w:val="auto"/>
                <w:spacing w:val="11"/>
                <w:kern w:val="2"/>
                <w:sz w:val="21"/>
                <w:szCs w:val="22"/>
                <w:highlight w:val="none"/>
                <w:lang w:eastAsia="zh-CN"/>
              </w:rPr>
              <w:t>。</w:t>
            </w:r>
            <w:r>
              <w:rPr>
                <w:rFonts w:hint="eastAsia" w:ascii="宋体" w:hAnsi="宋体" w:eastAsia="宋体" w:cs="Calibri"/>
                <w:b/>
                <w:color w:val="auto"/>
                <w:spacing w:val="11"/>
                <w:kern w:val="2"/>
                <w:sz w:val="21"/>
                <w:szCs w:val="22"/>
                <w:highlight w:val="none"/>
              </w:rPr>
              <w:t>◆发生新传染病或我国尚未发现的传染病发生或传入，并有扩散趋势，或发</w:t>
            </w:r>
            <w:r>
              <w:rPr>
                <w:rFonts w:hint="eastAsia" w:ascii="宋体" w:hAnsi="宋体" w:eastAsia="宋体" w:cs="Calibri"/>
                <w:b/>
                <w:color w:val="auto"/>
                <w:spacing w:val="11"/>
                <w:kern w:val="2"/>
                <w:sz w:val="21"/>
                <w:szCs w:val="22"/>
                <w:highlight w:val="none"/>
                <w:lang w:eastAsia="zh-CN"/>
              </w:rPr>
              <w:t>现我</w:t>
            </w:r>
            <w:r>
              <w:rPr>
                <w:rFonts w:hint="eastAsia" w:ascii="宋体" w:hAnsi="宋体" w:eastAsia="宋体" w:cs="Calibri"/>
                <w:b/>
                <w:color w:val="auto"/>
                <w:spacing w:val="11"/>
                <w:kern w:val="2"/>
                <w:sz w:val="21"/>
                <w:szCs w:val="22"/>
                <w:highlight w:val="none"/>
              </w:rPr>
              <w:t>国已消灭传染病重新流行。</w:t>
            </w:r>
          </w:p>
        </w:tc>
      </w:tr>
    </w:tbl>
    <w:p>
      <w:pPr>
        <w:pStyle w:val="4"/>
        <w:widowControl w:val="0"/>
        <w:kinsoku w:val="0"/>
        <w:wordWrap/>
        <w:overflowPunct w:val="0"/>
        <w:adjustRightInd/>
        <w:snapToGrid/>
        <w:spacing w:before="0" w:line="400" w:lineRule="exact"/>
        <w:ind w:left="0" w:firstLine="480" w:firstLineChars="200"/>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〔注：①依据《国家突发公共卫生事件应急预案》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2005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49号）、《海南省突发公共卫生事件应急预案》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琼府办</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2011</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133号）制表。②《传染病防治法》规定：甲类传染病</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强制管理传染病）包括鼠疫、霍乱；乙类传染病</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严格管理传染病）包括传染性非典型肺炎、艾滋病、病毒性肝炎、脊髓灰质炎、人感染高致病 性禽流感、麻疹、流行性出血热、狂犬病、流行性乙型脑炎、登革热、炭疽、细菌性和阿米巴性痢疾、肺结核、伤寒和副伤寒、流行性脑脊髓膜炎、百日咳、白喉、新生儿破伤风、猩红热、布鲁氏菌病、淋病、梅毒、钩端螺旋体病、血吸虫病、疟疾；丙 类传染病</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监测管理传染病）包括流行性感冒、流行性腮腺炎、风疹、急性出血性结膜炎、麻风病、流行性和地方性斑疹伤寒、黑热病、包虫病、丝虫病，除霍乱、细菌性和阿米巴性痢疾、伤寒和副伤寒以外的感染性腹泻病。</w:t>
      </w:r>
    </w:p>
    <w:p>
      <w:pPr>
        <w:widowControl w:val="0"/>
        <w:numPr>
          <w:ilvl w:val="0"/>
          <w:numId w:val="0"/>
        </w:numPr>
        <w:kinsoku w:val="0"/>
        <w:wordWrap/>
        <w:overflowPunct w:val="0"/>
        <w:adjustRightInd/>
        <w:snapToGrid/>
        <w:spacing w:line="560" w:lineRule="exact"/>
        <w:ind w:firstLine="640" w:firstLineChars="200"/>
        <w:textAlignment w:val="auto"/>
        <w:outlineLvl w:val="9"/>
        <w:rPr>
          <w:rFonts w:hint="eastAsia" w:ascii="楷体_GB2312" w:hAnsi="楷体_GB2312" w:eastAsia="楷体_GB2312" w:cs="楷体_GB2312"/>
          <w:b w:val="0"/>
          <w:bCs w:val="0"/>
          <w:color w:val="auto"/>
          <w:spacing w:val="1"/>
          <w:sz w:val="32"/>
          <w:highlight w:val="none"/>
        </w:rPr>
      </w:pPr>
      <w:bookmarkStart w:id="1088" w:name="_Toc32519_WPSOffice_Level2"/>
      <w:r>
        <w:rPr>
          <w:rFonts w:hint="eastAsia" w:ascii="楷体_GB2312" w:hAnsi="楷体_GB2312" w:eastAsia="楷体_GB2312" w:cs="楷体_GB2312"/>
          <w:b w:val="0"/>
          <w:bCs w:val="0"/>
          <w:color w:val="auto"/>
          <w:sz w:val="32"/>
          <w:highlight w:val="none"/>
          <w:lang w:eastAsia="zh-CN"/>
        </w:rPr>
        <w:t>（二）突发动物疫情</w:t>
      </w:r>
      <w:bookmarkEnd w:id="1088"/>
    </w:p>
    <w:tbl>
      <w:tblPr>
        <w:tblStyle w:val="10"/>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147"/>
        <w:gridCol w:w="1882"/>
        <w:gridCol w:w="1864"/>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b w:val="0"/>
                <w:color w:val="auto"/>
                <w:spacing w:val="1"/>
                <w:kern w:val="2"/>
                <w:sz w:val="21"/>
                <w:szCs w:val="21"/>
                <w:highlight w:val="none"/>
                <w:lang w:eastAsia="zh-CN"/>
              </w:rPr>
            </w:pPr>
            <w:r>
              <w:rPr>
                <w:rFonts w:hint="eastAsia" w:ascii="黑体" w:hAnsi="黑体" w:eastAsia="黑体" w:cs="Calibri"/>
                <w:b w:val="0"/>
                <w:color w:val="auto"/>
                <w:spacing w:val="1"/>
                <w:kern w:val="2"/>
                <w:sz w:val="21"/>
                <w:szCs w:val="21"/>
                <w:highlight w:val="none"/>
                <w:lang w:eastAsia="zh-CN"/>
              </w:rPr>
              <w:t>突发动物</w:t>
            </w:r>
          </w:p>
          <w:p>
            <w:pPr>
              <w:widowControl w:val="0"/>
              <w:numPr>
                <w:ilvl w:val="0"/>
                <w:numId w:val="0"/>
              </w:numPr>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b w:val="0"/>
                <w:color w:val="auto"/>
                <w:spacing w:val="1"/>
                <w:kern w:val="2"/>
                <w:sz w:val="21"/>
                <w:szCs w:val="21"/>
                <w:highlight w:val="none"/>
                <w:lang w:eastAsia="zh-CN"/>
              </w:rPr>
            </w:pPr>
            <w:r>
              <w:rPr>
                <w:rFonts w:hint="eastAsia" w:ascii="黑体" w:hAnsi="黑体" w:eastAsia="黑体" w:cs="Calibri"/>
                <w:b w:val="0"/>
                <w:color w:val="auto"/>
                <w:spacing w:val="1"/>
                <w:kern w:val="2"/>
                <w:sz w:val="21"/>
                <w:szCs w:val="21"/>
                <w:highlight w:val="none"/>
                <w:lang w:eastAsia="zh-CN"/>
              </w:rPr>
              <w:t>疫情</w:t>
            </w:r>
          </w:p>
        </w:tc>
        <w:tc>
          <w:tcPr>
            <w:tcW w:w="21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b w:val="0"/>
                <w:color w:val="auto"/>
                <w:spacing w:val="1"/>
                <w:kern w:val="2"/>
                <w:sz w:val="21"/>
                <w:szCs w:val="21"/>
                <w:highlight w:val="none"/>
                <w:lang w:eastAsia="zh-CN"/>
              </w:rPr>
            </w:pPr>
            <w:r>
              <w:rPr>
                <w:rFonts w:hint="eastAsia" w:ascii="黑体" w:hAnsi="黑体" w:eastAsia="黑体" w:cs="Calibri"/>
                <w:b w:val="0"/>
                <w:color w:val="auto"/>
                <w:spacing w:val="1"/>
                <w:kern w:val="2"/>
                <w:sz w:val="21"/>
                <w:szCs w:val="21"/>
                <w:highlight w:val="none"/>
                <w:lang w:eastAsia="zh-CN"/>
              </w:rPr>
              <w:t>特大</w:t>
            </w:r>
          </w:p>
        </w:tc>
        <w:tc>
          <w:tcPr>
            <w:tcW w:w="188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b w:val="0"/>
                <w:color w:val="auto"/>
                <w:spacing w:val="1"/>
                <w:kern w:val="2"/>
                <w:sz w:val="21"/>
                <w:szCs w:val="21"/>
                <w:highlight w:val="none"/>
                <w:lang w:eastAsia="zh-CN"/>
              </w:rPr>
            </w:pPr>
            <w:r>
              <w:rPr>
                <w:rFonts w:hint="eastAsia" w:ascii="黑体" w:hAnsi="黑体" w:eastAsia="黑体" w:cs="Calibri"/>
                <w:b w:val="0"/>
                <w:color w:val="auto"/>
                <w:spacing w:val="1"/>
                <w:kern w:val="2"/>
                <w:sz w:val="21"/>
                <w:szCs w:val="21"/>
                <w:highlight w:val="none"/>
                <w:lang w:eastAsia="zh-CN"/>
              </w:rPr>
              <w:t>重大</w:t>
            </w:r>
          </w:p>
        </w:tc>
        <w:tc>
          <w:tcPr>
            <w:tcW w:w="186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b w:val="0"/>
                <w:color w:val="auto"/>
                <w:spacing w:val="1"/>
                <w:kern w:val="2"/>
                <w:sz w:val="21"/>
                <w:szCs w:val="21"/>
                <w:highlight w:val="none"/>
                <w:lang w:eastAsia="zh-CN"/>
              </w:rPr>
            </w:pPr>
            <w:r>
              <w:rPr>
                <w:rFonts w:hint="eastAsia" w:ascii="黑体" w:hAnsi="黑体" w:eastAsia="黑体" w:cs="Calibri"/>
                <w:b w:val="0"/>
                <w:color w:val="auto"/>
                <w:spacing w:val="1"/>
                <w:kern w:val="2"/>
                <w:sz w:val="21"/>
                <w:szCs w:val="21"/>
                <w:highlight w:val="none"/>
                <w:lang w:eastAsia="zh-CN"/>
              </w:rPr>
              <w:t>较大</w:t>
            </w: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黑体" w:hAnsi="黑体" w:eastAsia="黑体" w:cs="Calibri"/>
                <w:b w:val="0"/>
                <w:color w:val="auto"/>
                <w:spacing w:val="1"/>
                <w:kern w:val="2"/>
                <w:sz w:val="21"/>
                <w:szCs w:val="21"/>
                <w:highlight w:val="none"/>
                <w:lang w:eastAsia="zh-CN"/>
              </w:rPr>
            </w:pPr>
            <w:r>
              <w:rPr>
                <w:rFonts w:hint="eastAsia" w:ascii="黑体" w:hAnsi="黑体" w:eastAsia="黑体" w:cs="Calibri"/>
                <w:b w:val="0"/>
                <w:color w:val="auto"/>
                <w:spacing w:val="1"/>
                <w:kern w:val="2"/>
                <w:sz w:val="21"/>
                <w:szCs w:val="21"/>
                <w:highlight w:val="no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高致病性</w:t>
            </w:r>
          </w:p>
          <w:p>
            <w:pPr>
              <w:pStyle w:val="4"/>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b w:val="0"/>
                <w:color w:val="auto"/>
                <w:spacing w:val="1"/>
                <w:kern w:val="2"/>
                <w:sz w:val="21"/>
                <w:szCs w:val="21"/>
                <w:highlight w:val="none"/>
              </w:rPr>
            </w:pPr>
            <w:r>
              <w:rPr>
                <w:rFonts w:hint="eastAsia" w:ascii="宋体" w:hAnsi="宋体" w:eastAsia="宋体" w:cs="Calibri"/>
                <w:color w:val="auto"/>
                <w:kern w:val="2"/>
                <w:sz w:val="21"/>
                <w:szCs w:val="21"/>
                <w:highlight w:val="none"/>
              </w:rPr>
              <w:t>禽流感</w:t>
            </w:r>
          </w:p>
        </w:tc>
        <w:tc>
          <w:tcPr>
            <w:tcW w:w="2147"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numPr>
                <w:ilvl w:val="0"/>
                <w:numId w:val="0"/>
              </w:numPr>
              <w:kinsoku w:val="0"/>
              <w:wordWrap/>
              <w:overflowPunct w:val="0"/>
              <w:adjustRightInd/>
              <w:snapToGrid/>
              <w:spacing w:before="0" w:beforeAutospacing="0" w:after="0" w:afterAutospacing="0" w:line="280" w:lineRule="exact"/>
              <w:ind w:left="0" w:right="0" w:firstLine="0" w:firstLineChars="0"/>
              <w:textAlignment w:val="auto"/>
              <w:outlineLvl w:val="9"/>
              <w:rPr>
                <w:rFonts w:hint="eastAsia" w:ascii="宋体" w:hAnsi="宋体" w:eastAsia="宋体" w:cs="Calibri"/>
                <w:b w:val="0"/>
                <w:color w:val="auto"/>
                <w:spacing w:val="1"/>
                <w:kern w:val="2"/>
                <w:sz w:val="21"/>
                <w:szCs w:val="21"/>
                <w:highlight w:val="none"/>
                <w:lang w:val="en-US" w:eastAsia="zh-CN"/>
              </w:rPr>
            </w:pPr>
            <w:r>
              <w:rPr>
                <w:rFonts w:hint="eastAsia" w:ascii="宋体" w:hAnsi="宋体" w:eastAsia="宋体" w:cs="Calibri"/>
                <w:b w:val="0"/>
                <w:color w:val="auto"/>
                <w:spacing w:val="1"/>
                <w:kern w:val="2"/>
                <w:sz w:val="21"/>
                <w:szCs w:val="21"/>
                <w:highlight w:val="none"/>
              </w:rPr>
              <w:t>在21日内，相邻省份有10个以上县</w:t>
            </w:r>
            <w:r>
              <w:rPr>
                <w:rFonts w:hint="eastAsia" w:ascii="宋体" w:hAnsi="宋体" w:eastAsia="宋体" w:cs="Calibri"/>
                <w:b w:val="0"/>
                <w:color w:val="auto"/>
                <w:spacing w:val="1"/>
                <w:kern w:val="2"/>
                <w:sz w:val="21"/>
                <w:szCs w:val="21"/>
                <w:highlight w:val="none"/>
                <w:lang w:eastAsia="zh-CN"/>
              </w:rPr>
              <w:t>（</w:t>
            </w:r>
            <w:r>
              <w:rPr>
                <w:rFonts w:hint="eastAsia" w:ascii="宋体" w:hAnsi="宋体" w:eastAsia="宋体" w:cs="Calibri"/>
                <w:b w:val="0"/>
                <w:color w:val="auto"/>
                <w:spacing w:val="1"/>
                <w:kern w:val="2"/>
                <w:sz w:val="21"/>
                <w:szCs w:val="21"/>
                <w:highlight w:val="none"/>
              </w:rPr>
              <w:t>市）发生疫情；或在1个省</w:t>
            </w:r>
            <w:r>
              <w:rPr>
                <w:rFonts w:hint="eastAsia" w:ascii="宋体" w:hAnsi="宋体" w:eastAsia="宋体" w:cs="Calibri"/>
                <w:b w:val="0"/>
                <w:color w:val="auto"/>
                <w:spacing w:val="1"/>
                <w:kern w:val="2"/>
                <w:sz w:val="21"/>
                <w:szCs w:val="21"/>
                <w:highlight w:val="none"/>
                <w:lang w:eastAsia="zh-CN"/>
              </w:rPr>
              <w:t>（</w:t>
            </w:r>
            <w:r>
              <w:rPr>
                <w:rFonts w:hint="eastAsia" w:ascii="宋体" w:hAnsi="宋体" w:eastAsia="宋体" w:cs="Calibri"/>
                <w:b w:val="0"/>
                <w:color w:val="auto"/>
                <w:spacing w:val="1"/>
                <w:kern w:val="2"/>
                <w:sz w:val="21"/>
                <w:szCs w:val="21"/>
                <w:highlight w:val="none"/>
              </w:rPr>
              <w:t>区、市）内有20个以上县</w:t>
            </w:r>
            <w:r>
              <w:rPr>
                <w:rFonts w:hint="eastAsia" w:ascii="宋体" w:hAnsi="宋体" w:eastAsia="宋体" w:cs="Calibri"/>
                <w:b w:val="0"/>
                <w:color w:val="auto"/>
                <w:spacing w:val="1"/>
                <w:kern w:val="2"/>
                <w:sz w:val="21"/>
                <w:szCs w:val="21"/>
                <w:highlight w:val="none"/>
                <w:lang w:eastAsia="zh-CN"/>
              </w:rPr>
              <w:t>（</w:t>
            </w:r>
            <w:r>
              <w:rPr>
                <w:rFonts w:hint="eastAsia" w:ascii="宋体" w:hAnsi="宋体" w:eastAsia="宋体" w:cs="Calibri"/>
                <w:b w:val="0"/>
                <w:color w:val="auto"/>
                <w:spacing w:val="1"/>
                <w:kern w:val="2"/>
                <w:sz w:val="21"/>
                <w:szCs w:val="21"/>
                <w:highlight w:val="none"/>
              </w:rPr>
              <w:t>市）发生或10个以上县</w:t>
            </w:r>
            <w:r>
              <w:rPr>
                <w:rFonts w:hint="eastAsia" w:ascii="宋体" w:hAnsi="宋体" w:eastAsia="宋体" w:cs="Calibri"/>
                <w:b w:val="0"/>
                <w:color w:val="auto"/>
                <w:spacing w:val="1"/>
                <w:kern w:val="2"/>
                <w:sz w:val="21"/>
                <w:szCs w:val="21"/>
                <w:highlight w:val="none"/>
                <w:lang w:eastAsia="zh-CN"/>
              </w:rPr>
              <w:t>（</w:t>
            </w:r>
            <w:r>
              <w:rPr>
                <w:rFonts w:hint="eastAsia" w:ascii="宋体" w:hAnsi="宋体" w:eastAsia="宋体" w:cs="Calibri"/>
                <w:b w:val="0"/>
                <w:color w:val="auto"/>
                <w:spacing w:val="1"/>
                <w:kern w:val="2"/>
                <w:sz w:val="21"/>
                <w:szCs w:val="21"/>
                <w:highlight w:val="none"/>
              </w:rPr>
              <w:t>市）连片发生疫情</w:t>
            </w:r>
            <w:r>
              <w:rPr>
                <w:rFonts w:hint="eastAsia" w:ascii="宋体" w:hAnsi="宋体" w:eastAsia="宋体" w:cs="Calibri"/>
                <w:b w:val="0"/>
                <w:color w:val="auto"/>
                <w:spacing w:val="1"/>
                <w:kern w:val="2"/>
                <w:sz w:val="21"/>
                <w:szCs w:val="21"/>
                <w:highlight w:val="none"/>
                <w:lang w:eastAsia="zh-CN"/>
              </w:rPr>
              <w:t>。</w:t>
            </w:r>
          </w:p>
        </w:tc>
        <w:tc>
          <w:tcPr>
            <w:tcW w:w="188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numPr>
                <w:ilvl w:val="0"/>
                <w:numId w:val="0"/>
              </w:numPr>
              <w:kinsoku w:val="0"/>
              <w:wordWrap/>
              <w:overflowPunct w:val="0"/>
              <w:adjustRightInd/>
              <w:snapToGrid/>
              <w:spacing w:before="0" w:beforeAutospacing="0" w:after="0" w:afterAutospacing="0" w:line="280" w:lineRule="exact"/>
              <w:ind w:left="0" w:right="0" w:firstLine="0" w:firstLineChars="0"/>
              <w:textAlignment w:val="auto"/>
              <w:outlineLvl w:val="9"/>
              <w:rPr>
                <w:rFonts w:hint="eastAsia" w:ascii="宋体" w:hAnsi="宋体" w:eastAsia="宋体" w:cs="Calibri"/>
                <w:b w:val="0"/>
                <w:color w:val="auto"/>
                <w:spacing w:val="1"/>
                <w:kern w:val="2"/>
                <w:sz w:val="21"/>
                <w:szCs w:val="21"/>
                <w:highlight w:val="none"/>
              </w:rPr>
            </w:pPr>
            <w:r>
              <w:rPr>
                <w:rFonts w:hint="eastAsia" w:ascii="宋体" w:hAnsi="宋体" w:eastAsia="宋体" w:cs="Calibri"/>
                <w:b w:val="0"/>
                <w:color w:val="auto"/>
                <w:spacing w:val="1"/>
                <w:kern w:val="2"/>
                <w:sz w:val="21"/>
                <w:szCs w:val="21"/>
                <w:highlight w:val="none"/>
              </w:rPr>
              <w:t>在21日内，在1个省</w:t>
            </w:r>
            <w:r>
              <w:rPr>
                <w:rFonts w:hint="eastAsia" w:ascii="宋体" w:hAnsi="宋体" w:eastAsia="宋体" w:cs="Calibri"/>
                <w:b w:val="0"/>
                <w:color w:val="auto"/>
                <w:spacing w:val="1"/>
                <w:kern w:val="2"/>
                <w:sz w:val="21"/>
                <w:szCs w:val="21"/>
                <w:highlight w:val="none"/>
                <w:lang w:eastAsia="zh-CN"/>
              </w:rPr>
              <w:t>（</w:t>
            </w:r>
            <w:r>
              <w:rPr>
                <w:rFonts w:hint="eastAsia" w:ascii="宋体" w:hAnsi="宋体" w:eastAsia="宋体" w:cs="Calibri"/>
                <w:b w:val="0"/>
                <w:color w:val="auto"/>
                <w:spacing w:val="1"/>
                <w:kern w:val="2"/>
                <w:sz w:val="21"/>
                <w:szCs w:val="21"/>
                <w:highlight w:val="none"/>
              </w:rPr>
              <w:t>区、市）内有2个以上市</w:t>
            </w:r>
            <w:r>
              <w:rPr>
                <w:rFonts w:hint="eastAsia" w:ascii="宋体" w:hAnsi="宋体" w:eastAsia="宋体" w:cs="Calibri"/>
                <w:b w:val="0"/>
                <w:color w:val="auto"/>
                <w:spacing w:val="1"/>
                <w:kern w:val="2"/>
                <w:sz w:val="21"/>
                <w:szCs w:val="21"/>
                <w:highlight w:val="none"/>
                <w:lang w:eastAsia="zh-CN"/>
              </w:rPr>
              <w:t>（</w:t>
            </w:r>
            <w:r>
              <w:rPr>
                <w:rFonts w:hint="eastAsia" w:ascii="宋体" w:hAnsi="宋体" w:eastAsia="宋体" w:cs="Calibri"/>
                <w:b w:val="0"/>
                <w:color w:val="auto"/>
                <w:spacing w:val="1"/>
                <w:kern w:val="2"/>
                <w:sz w:val="21"/>
                <w:szCs w:val="21"/>
                <w:highlight w:val="none"/>
              </w:rPr>
              <w:t>地）发生疫情，或有 20个以上疫点，或者5—9个县</w:t>
            </w:r>
            <w:r>
              <w:rPr>
                <w:rFonts w:hint="eastAsia" w:ascii="宋体" w:hAnsi="宋体" w:eastAsia="宋体" w:cs="Calibri"/>
                <w:b w:val="0"/>
                <w:color w:val="auto"/>
                <w:spacing w:val="1"/>
                <w:kern w:val="2"/>
                <w:sz w:val="21"/>
                <w:szCs w:val="21"/>
                <w:highlight w:val="none"/>
                <w:lang w:eastAsia="zh-CN"/>
              </w:rPr>
              <w:t>（</w:t>
            </w:r>
            <w:r>
              <w:rPr>
                <w:rFonts w:hint="eastAsia" w:ascii="宋体" w:hAnsi="宋体" w:eastAsia="宋体" w:cs="Calibri"/>
                <w:b w:val="0"/>
                <w:color w:val="auto"/>
                <w:spacing w:val="1"/>
                <w:kern w:val="2"/>
                <w:sz w:val="21"/>
                <w:szCs w:val="21"/>
                <w:highlight w:val="none"/>
              </w:rPr>
              <w:t>市）连片发生疫情。</w:t>
            </w:r>
          </w:p>
        </w:tc>
        <w:tc>
          <w:tcPr>
            <w:tcW w:w="186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eastAsia" w:ascii="宋体" w:hAnsi="宋体" w:eastAsia="宋体" w:cs="Calibri"/>
                <w:b w:val="0"/>
                <w:color w:val="auto"/>
                <w:spacing w:val="1"/>
                <w:kern w:val="2"/>
                <w:sz w:val="21"/>
                <w:szCs w:val="21"/>
                <w:highlight w:val="none"/>
              </w:rPr>
            </w:pPr>
            <w:r>
              <w:rPr>
                <w:rFonts w:hint="eastAsia" w:ascii="宋体" w:hAnsi="宋体" w:eastAsia="宋体" w:cs="Calibri"/>
                <w:color w:val="auto"/>
                <w:kern w:val="2"/>
                <w:sz w:val="21"/>
                <w:szCs w:val="21"/>
                <w:highlight w:val="none"/>
              </w:rPr>
              <w:t>在21日内</w:t>
            </w:r>
            <w:r>
              <w:rPr>
                <w:rFonts w:hint="eastAsia" w:ascii="宋体" w:hAnsi="宋体" w:eastAsia="宋体" w:cs="Calibri"/>
                <w:color w:val="auto"/>
                <w:spacing w:val="-96"/>
                <w:kern w:val="2"/>
                <w:sz w:val="21"/>
                <w:szCs w:val="21"/>
                <w:highlight w:val="none"/>
              </w:rPr>
              <w:t>，</w:t>
            </w:r>
            <w:r>
              <w:rPr>
                <w:rFonts w:hint="eastAsia" w:ascii="宋体" w:hAnsi="宋体" w:eastAsia="宋体" w:cs="Calibri"/>
                <w:color w:val="auto"/>
                <w:kern w:val="2"/>
                <w:sz w:val="21"/>
                <w:szCs w:val="21"/>
                <w:highlight w:val="none"/>
              </w:rPr>
              <w:t>在1个市</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地）内</w:t>
            </w:r>
            <w:r>
              <w:rPr>
                <w:rFonts w:hint="eastAsia" w:ascii="宋体" w:hAnsi="宋体" w:eastAsia="宋体" w:cs="Calibri"/>
                <w:color w:val="auto"/>
                <w:spacing w:val="-54"/>
                <w:kern w:val="2"/>
                <w:sz w:val="21"/>
                <w:szCs w:val="21"/>
                <w:highlight w:val="none"/>
              </w:rPr>
              <w:t xml:space="preserve"> </w:t>
            </w:r>
            <w:r>
              <w:rPr>
                <w:rFonts w:hint="eastAsia" w:ascii="宋体" w:hAnsi="宋体" w:eastAsia="宋体" w:cs="Calibri"/>
                <w:color w:val="auto"/>
                <w:kern w:val="2"/>
                <w:sz w:val="21"/>
                <w:szCs w:val="21"/>
                <w:highlight w:val="none"/>
              </w:rPr>
              <w:t>2个以上县</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市）发生疫情，或疫点数达到</w:t>
            </w:r>
            <w:r>
              <w:rPr>
                <w:rFonts w:hint="eastAsia" w:ascii="宋体" w:hAnsi="宋体" w:eastAsia="宋体" w:cs="Calibri"/>
                <w:color w:val="auto"/>
                <w:spacing w:val="-54"/>
                <w:kern w:val="2"/>
                <w:sz w:val="21"/>
                <w:szCs w:val="21"/>
                <w:highlight w:val="none"/>
              </w:rPr>
              <w:t xml:space="preserve"> </w:t>
            </w:r>
            <w:r>
              <w:rPr>
                <w:rFonts w:hint="eastAsia" w:ascii="宋体" w:hAnsi="宋体" w:eastAsia="宋体" w:cs="Calibri"/>
                <w:color w:val="auto"/>
                <w:kern w:val="2"/>
                <w:sz w:val="21"/>
                <w:szCs w:val="21"/>
                <w:highlight w:val="none"/>
              </w:rPr>
              <w:t>3个以上。</w:t>
            </w: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eastAsia" w:ascii="宋体" w:hAnsi="宋体" w:eastAsia="宋体" w:cs="Calibri"/>
                <w:b w:val="0"/>
                <w:color w:val="auto"/>
                <w:spacing w:val="1"/>
                <w:kern w:val="2"/>
                <w:sz w:val="21"/>
                <w:szCs w:val="21"/>
                <w:highlight w:val="none"/>
              </w:rPr>
            </w:pPr>
            <w:r>
              <w:rPr>
                <w:rFonts w:hint="eastAsia" w:ascii="宋体" w:hAnsi="宋体" w:eastAsia="宋体" w:cs="Calibri"/>
                <w:color w:val="auto"/>
                <w:kern w:val="2"/>
                <w:sz w:val="21"/>
                <w:szCs w:val="21"/>
                <w:highlight w:val="none"/>
              </w:rPr>
              <w:t>在1个县</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市</w:t>
            </w:r>
            <w:r>
              <w:rPr>
                <w:rFonts w:hint="eastAsia" w:ascii="宋体" w:hAnsi="宋体" w:eastAsia="宋体" w:cs="Calibri"/>
                <w:color w:val="auto"/>
                <w:spacing w:val="-105"/>
                <w:kern w:val="2"/>
                <w:sz w:val="21"/>
                <w:szCs w:val="21"/>
                <w:highlight w:val="none"/>
              </w:rPr>
              <w:t>）</w:t>
            </w:r>
            <w:r>
              <w:rPr>
                <w:rFonts w:hint="eastAsia" w:ascii="宋体" w:hAnsi="宋体" w:eastAsia="宋体" w:cs="Calibri"/>
                <w:color w:val="auto"/>
                <w:kern w:val="2"/>
                <w:sz w:val="21"/>
                <w:szCs w:val="21"/>
                <w:highlight w:val="none"/>
              </w:rPr>
              <w:t>内发生疫情。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b w:val="0"/>
                <w:color w:val="auto"/>
                <w:spacing w:val="1"/>
                <w:kern w:val="2"/>
                <w:sz w:val="21"/>
                <w:szCs w:val="21"/>
                <w:highlight w:val="none"/>
                <w:lang w:eastAsia="zh-CN"/>
              </w:rPr>
            </w:pPr>
            <w:r>
              <w:rPr>
                <w:rFonts w:hint="eastAsia" w:ascii="宋体" w:hAnsi="宋体" w:eastAsia="宋体" w:cs="Calibri"/>
                <w:b w:val="0"/>
                <w:color w:val="auto"/>
                <w:spacing w:val="1"/>
                <w:kern w:val="2"/>
                <w:sz w:val="21"/>
                <w:szCs w:val="21"/>
                <w:highlight w:val="none"/>
                <w:lang w:eastAsia="zh-CN"/>
              </w:rPr>
              <w:t>口蹄疫</w:t>
            </w:r>
          </w:p>
        </w:tc>
        <w:tc>
          <w:tcPr>
            <w:tcW w:w="214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eastAsia" w:ascii="宋体" w:hAnsi="宋体" w:eastAsia="宋体" w:cs="Calibri"/>
                <w:b w:val="0"/>
                <w:color w:val="auto"/>
                <w:spacing w:val="1"/>
                <w:kern w:val="2"/>
                <w:sz w:val="21"/>
                <w:szCs w:val="21"/>
                <w:highlight w:val="none"/>
              </w:rPr>
            </w:pPr>
            <w:r>
              <w:rPr>
                <w:rFonts w:hint="eastAsia" w:ascii="宋体" w:hAnsi="宋体" w:eastAsia="宋体" w:cs="Calibri"/>
                <w:color w:val="auto"/>
                <w:kern w:val="2"/>
                <w:sz w:val="21"/>
                <w:szCs w:val="21"/>
                <w:highlight w:val="none"/>
              </w:rPr>
              <w:t>在14</w:t>
            </w:r>
            <w:r>
              <w:rPr>
                <w:rFonts w:hint="eastAsia" w:ascii="宋体" w:hAnsi="宋体" w:eastAsia="宋体" w:cs="Calibri"/>
                <w:color w:val="auto"/>
                <w:spacing w:val="-1"/>
                <w:kern w:val="2"/>
                <w:sz w:val="21"/>
                <w:szCs w:val="21"/>
                <w:highlight w:val="none"/>
              </w:rPr>
              <w:t>日内，在</w:t>
            </w:r>
            <w:r>
              <w:rPr>
                <w:rFonts w:hint="eastAsia" w:ascii="宋体" w:hAnsi="宋体" w:eastAsia="宋体" w:cs="Calibri"/>
                <w:color w:val="auto"/>
                <w:kern w:val="2"/>
                <w:sz w:val="21"/>
                <w:szCs w:val="21"/>
                <w:highlight w:val="none"/>
              </w:rPr>
              <w:t>5个以上省份发生严重疫情，且疫区连片。</w:t>
            </w:r>
          </w:p>
        </w:tc>
        <w:tc>
          <w:tcPr>
            <w:tcW w:w="18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eastAsia" w:ascii="宋体" w:hAnsi="宋体" w:eastAsia="宋体" w:cs="Calibri"/>
                <w:color w:val="auto"/>
                <w:spacing w:val="1"/>
                <w:kern w:val="2"/>
                <w:sz w:val="21"/>
                <w:szCs w:val="21"/>
                <w:highlight w:val="none"/>
              </w:rPr>
            </w:pPr>
            <w:r>
              <w:rPr>
                <w:rFonts w:hint="eastAsia" w:ascii="宋体" w:hAnsi="宋体" w:eastAsia="宋体" w:cs="Calibri"/>
                <w:color w:val="auto"/>
                <w:kern w:val="2"/>
                <w:sz w:val="21"/>
                <w:szCs w:val="21"/>
                <w:highlight w:val="none"/>
              </w:rPr>
              <w:t>在14</w:t>
            </w:r>
            <w:r>
              <w:rPr>
                <w:rFonts w:hint="eastAsia" w:ascii="宋体" w:hAnsi="宋体" w:eastAsia="宋体" w:cs="Calibri"/>
                <w:color w:val="auto"/>
                <w:spacing w:val="-3"/>
                <w:kern w:val="2"/>
                <w:sz w:val="21"/>
                <w:szCs w:val="21"/>
                <w:highlight w:val="none"/>
              </w:rPr>
              <w:t>日内，在</w:t>
            </w:r>
            <w:r>
              <w:rPr>
                <w:rFonts w:hint="eastAsia" w:ascii="宋体" w:hAnsi="宋体" w:eastAsia="宋体" w:cs="Calibri"/>
                <w:color w:val="auto"/>
                <w:spacing w:val="-3"/>
                <w:kern w:val="2"/>
                <w:sz w:val="21"/>
                <w:szCs w:val="21"/>
                <w:highlight w:val="none"/>
                <w:lang w:val="en-US" w:eastAsia="zh-CN"/>
              </w:rPr>
              <w:t>1</w:t>
            </w:r>
            <w:r>
              <w:rPr>
                <w:rFonts w:hint="eastAsia" w:ascii="宋体" w:hAnsi="宋体" w:eastAsia="宋体" w:cs="Calibri"/>
                <w:color w:val="auto"/>
                <w:kern w:val="2"/>
                <w:sz w:val="21"/>
                <w:szCs w:val="21"/>
                <w:highlight w:val="none"/>
              </w:rPr>
              <w:t>个省</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区、市）内有</w:t>
            </w:r>
            <w:r>
              <w:rPr>
                <w:rFonts w:hint="eastAsia" w:ascii="宋体" w:hAnsi="宋体" w:eastAsia="宋体" w:cs="Calibri"/>
                <w:color w:val="auto"/>
                <w:spacing w:val="-54"/>
                <w:kern w:val="2"/>
                <w:sz w:val="21"/>
                <w:szCs w:val="21"/>
                <w:highlight w:val="none"/>
              </w:rPr>
              <w:t xml:space="preserve"> </w:t>
            </w:r>
            <w:r>
              <w:rPr>
                <w:rFonts w:hint="eastAsia" w:ascii="宋体" w:hAnsi="宋体" w:eastAsia="宋体" w:cs="Calibri"/>
                <w:color w:val="auto"/>
                <w:kern w:val="2"/>
                <w:sz w:val="21"/>
                <w:szCs w:val="21"/>
                <w:highlight w:val="none"/>
              </w:rPr>
              <w:t>2个以上相邻</w:t>
            </w:r>
            <w:r>
              <w:rPr>
                <w:rFonts w:hint="eastAsia" w:ascii="宋体" w:hAnsi="宋体" w:eastAsia="宋体" w:cs="Calibri"/>
                <w:color w:val="auto"/>
                <w:spacing w:val="-29"/>
                <w:kern w:val="2"/>
                <w:sz w:val="21"/>
                <w:szCs w:val="21"/>
                <w:highlight w:val="none"/>
              </w:rPr>
              <w:t>市</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地</w:t>
            </w:r>
            <w:r>
              <w:rPr>
                <w:rFonts w:hint="eastAsia" w:ascii="宋体" w:hAnsi="宋体" w:eastAsia="宋体" w:cs="Calibri"/>
                <w:color w:val="auto"/>
                <w:spacing w:val="-29"/>
                <w:kern w:val="2"/>
                <w:sz w:val="21"/>
                <w:szCs w:val="21"/>
                <w:highlight w:val="none"/>
              </w:rPr>
              <w:t>）</w:t>
            </w:r>
            <w:r>
              <w:rPr>
                <w:rFonts w:hint="eastAsia" w:ascii="宋体" w:hAnsi="宋体" w:eastAsia="宋体" w:cs="Calibri"/>
                <w:color w:val="auto"/>
                <w:kern w:val="2"/>
                <w:sz w:val="21"/>
                <w:szCs w:val="21"/>
                <w:highlight w:val="none"/>
              </w:rPr>
              <w:t>或</w:t>
            </w:r>
            <w:r>
              <w:rPr>
                <w:rFonts w:hint="eastAsia" w:ascii="宋体" w:hAnsi="宋体" w:eastAsia="宋体" w:cs="Calibri"/>
                <w:color w:val="auto"/>
                <w:spacing w:val="-55"/>
                <w:kern w:val="2"/>
                <w:sz w:val="21"/>
                <w:szCs w:val="21"/>
                <w:highlight w:val="none"/>
              </w:rPr>
              <w:t xml:space="preserve"> </w:t>
            </w:r>
            <w:r>
              <w:rPr>
                <w:rFonts w:hint="eastAsia" w:ascii="宋体" w:hAnsi="宋体" w:eastAsia="宋体" w:cs="Calibri"/>
                <w:color w:val="auto"/>
                <w:kern w:val="2"/>
                <w:sz w:val="21"/>
                <w:szCs w:val="21"/>
                <w:highlight w:val="none"/>
              </w:rPr>
              <w:t>5个以上县</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市）发生疫情，或有新的口蹄疫亚型出现并发生疫情。</w:t>
            </w:r>
          </w:p>
        </w:tc>
        <w:tc>
          <w:tcPr>
            <w:tcW w:w="186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eastAsia" w:ascii="宋体" w:hAnsi="宋体" w:eastAsia="宋体" w:cs="Calibri"/>
                <w:b w:val="0"/>
                <w:color w:val="auto"/>
                <w:spacing w:val="1"/>
                <w:kern w:val="2"/>
                <w:sz w:val="21"/>
                <w:szCs w:val="21"/>
                <w:highlight w:val="none"/>
              </w:rPr>
            </w:pPr>
            <w:r>
              <w:rPr>
                <w:rFonts w:hint="eastAsia" w:ascii="宋体" w:hAnsi="宋体" w:eastAsia="宋体" w:cs="Calibri"/>
                <w:color w:val="auto"/>
                <w:kern w:val="2"/>
                <w:sz w:val="21"/>
                <w:szCs w:val="21"/>
                <w:highlight w:val="none"/>
              </w:rPr>
              <w:t>在14日内</w:t>
            </w:r>
            <w:r>
              <w:rPr>
                <w:rFonts w:hint="eastAsia" w:ascii="宋体" w:hAnsi="宋体" w:eastAsia="宋体" w:cs="Calibri"/>
                <w:color w:val="auto"/>
                <w:spacing w:val="-96"/>
                <w:kern w:val="2"/>
                <w:sz w:val="21"/>
                <w:szCs w:val="21"/>
                <w:highlight w:val="none"/>
              </w:rPr>
              <w:t>，</w:t>
            </w:r>
            <w:r>
              <w:rPr>
                <w:rFonts w:hint="eastAsia" w:ascii="宋体" w:hAnsi="宋体" w:eastAsia="宋体" w:cs="Calibri"/>
                <w:color w:val="auto"/>
                <w:kern w:val="2"/>
                <w:sz w:val="21"/>
                <w:szCs w:val="21"/>
                <w:highlight w:val="none"/>
              </w:rPr>
              <w:t>在1个市</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地）内</w:t>
            </w:r>
            <w:r>
              <w:rPr>
                <w:rFonts w:hint="eastAsia" w:ascii="宋体" w:hAnsi="宋体" w:eastAsia="宋体" w:cs="Calibri"/>
                <w:color w:val="auto"/>
                <w:spacing w:val="-54"/>
                <w:kern w:val="2"/>
                <w:sz w:val="21"/>
                <w:szCs w:val="21"/>
                <w:highlight w:val="none"/>
              </w:rPr>
              <w:t xml:space="preserve"> </w:t>
            </w:r>
            <w:r>
              <w:rPr>
                <w:rFonts w:hint="eastAsia" w:ascii="宋体" w:hAnsi="宋体" w:eastAsia="宋体" w:cs="Calibri"/>
                <w:color w:val="auto"/>
                <w:kern w:val="2"/>
                <w:sz w:val="21"/>
                <w:szCs w:val="21"/>
                <w:highlight w:val="none"/>
              </w:rPr>
              <w:t>2个以上县</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市）发生疫情，或疫点数达到5个以上。</w:t>
            </w: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4"/>
              <w:widowControl w:val="0"/>
              <w:kinsoku w:val="0"/>
              <w:wordWrap/>
              <w:overflowPunct w:val="0"/>
              <w:adjustRightInd/>
              <w:snapToGrid/>
              <w:spacing w:before="0" w:beforeAutospacing="0" w:after="0" w:afterAutospacing="0" w:line="280" w:lineRule="exact"/>
              <w:ind w:left="0" w:right="0" w:firstLine="0" w:firstLineChars="0"/>
              <w:textAlignment w:val="auto"/>
              <w:outlineLvl w:val="9"/>
              <w:rPr>
                <w:rFonts w:hint="eastAsia" w:ascii="宋体" w:hAnsi="宋体" w:eastAsia="宋体" w:cs="Calibri"/>
                <w:b w:val="0"/>
                <w:color w:val="auto"/>
                <w:spacing w:val="1"/>
                <w:kern w:val="2"/>
                <w:sz w:val="21"/>
                <w:szCs w:val="21"/>
                <w:highlight w:val="none"/>
              </w:rPr>
            </w:pPr>
            <w:r>
              <w:rPr>
                <w:rFonts w:hint="eastAsia" w:ascii="宋体" w:hAnsi="宋体" w:eastAsia="宋体" w:cs="Calibri"/>
                <w:color w:val="auto"/>
                <w:kern w:val="2"/>
                <w:sz w:val="21"/>
                <w:szCs w:val="21"/>
                <w:highlight w:val="none"/>
              </w:rPr>
              <w:t>在1个县</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市</w:t>
            </w:r>
            <w:r>
              <w:rPr>
                <w:rFonts w:hint="eastAsia" w:ascii="宋体" w:hAnsi="宋体" w:eastAsia="宋体" w:cs="Calibri"/>
                <w:color w:val="auto"/>
                <w:spacing w:val="-105"/>
                <w:kern w:val="2"/>
                <w:sz w:val="21"/>
                <w:szCs w:val="21"/>
                <w:highlight w:val="none"/>
              </w:rPr>
              <w:t>）</w:t>
            </w:r>
            <w:r>
              <w:rPr>
                <w:rFonts w:hint="eastAsia" w:ascii="宋体" w:hAnsi="宋体" w:eastAsia="宋体" w:cs="Calibri"/>
                <w:color w:val="auto"/>
                <w:kern w:val="2"/>
                <w:sz w:val="21"/>
                <w:szCs w:val="21"/>
                <w:highlight w:val="none"/>
              </w:rPr>
              <w:t>内发生疫情。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4"/>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疯牛病等</w:t>
            </w:r>
          </w:p>
          <w:p>
            <w:pPr>
              <w:pStyle w:val="4"/>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b w:val="0"/>
                <w:color w:val="auto"/>
                <w:spacing w:val="1"/>
                <w:kern w:val="2"/>
                <w:sz w:val="21"/>
                <w:szCs w:val="21"/>
                <w:highlight w:val="none"/>
              </w:rPr>
            </w:pPr>
            <w:r>
              <w:rPr>
                <w:rFonts w:hint="eastAsia" w:ascii="宋体" w:hAnsi="宋体" w:eastAsia="宋体" w:cs="Calibri"/>
                <w:color w:val="auto"/>
                <w:kern w:val="2"/>
                <w:sz w:val="21"/>
                <w:szCs w:val="21"/>
                <w:highlight w:val="none"/>
              </w:rPr>
              <w:t>人畜共患病</w:t>
            </w:r>
          </w:p>
        </w:tc>
        <w:tc>
          <w:tcPr>
            <w:tcW w:w="214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eastAsia" w:ascii="宋体" w:hAnsi="宋体" w:eastAsia="宋体" w:cs="Calibri"/>
                <w:b w:val="0"/>
                <w:color w:val="auto"/>
                <w:spacing w:val="1"/>
                <w:kern w:val="2"/>
                <w:sz w:val="21"/>
                <w:szCs w:val="21"/>
                <w:highlight w:val="none"/>
              </w:rPr>
            </w:pPr>
            <w:r>
              <w:rPr>
                <w:rFonts w:hint="eastAsia" w:ascii="宋体" w:hAnsi="宋体" w:eastAsia="宋体" w:cs="Calibri"/>
                <w:b w:val="0"/>
                <w:color w:val="auto"/>
                <w:spacing w:val="1"/>
                <w:kern w:val="2"/>
                <w:sz w:val="21"/>
                <w:szCs w:val="21"/>
                <w:highlight w:val="none"/>
              </w:rPr>
              <w:t>动物爆发感染到人，并继续大面积扩散蔓延。</w:t>
            </w:r>
          </w:p>
        </w:tc>
        <w:tc>
          <w:tcPr>
            <w:tcW w:w="188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b w:val="0"/>
                <w:color w:val="auto"/>
                <w:spacing w:val="1"/>
                <w:kern w:val="2"/>
                <w:sz w:val="21"/>
                <w:szCs w:val="21"/>
                <w:highlight w:val="none"/>
                <w:lang w:eastAsia="zh-CN"/>
              </w:rPr>
            </w:pPr>
            <w:r>
              <w:rPr>
                <w:rFonts w:hint="eastAsia" w:ascii="宋体" w:hAnsi="宋体" w:eastAsia="宋体" w:cs="Calibri"/>
                <w:b w:val="0"/>
                <w:color w:val="auto"/>
                <w:spacing w:val="1"/>
                <w:kern w:val="2"/>
                <w:sz w:val="21"/>
                <w:szCs w:val="21"/>
                <w:highlight w:val="none"/>
                <w:lang w:eastAsia="zh-CN"/>
              </w:rPr>
              <w:t>——</w:t>
            </w:r>
          </w:p>
        </w:tc>
        <w:tc>
          <w:tcPr>
            <w:tcW w:w="186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b w:val="0"/>
                <w:color w:val="auto"/>
                <w:spacing w:val="1"/>
                <w:kern w:val="2"/>
                <w:sz w:val="21"/>
                <w:szCs w:val="21"/>
                <w:highlight w:val="none"/>
                <w:lang w:eastAsia="zh-CN"/>
              </w:rPr>
            </w:pPr>
            <w:r>
              <w:rPr>
                <w:rFonts w:hint="eastAsia" w:ascii="宋体" w:hAnsi="宋体" w:eastAsia="宋体" w:cs="Calibri"/>
                <w:b w:val="0"/>
                <w:color w:val="auto"/>
                <w:spacing w:val="1"/>
                <w:kern w:val="2"/>
                <w:sz w:val="21"/>
                <w:szCs w:val="21"/>
                <w:highlight w:val="none"/>
                <w:lang w:eastAsia="zh-CN"/>
              </w:rPr>
              <w:t>——</w:t>
            </w: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numPr>
                <w:ilvl w:val="0"/>
                <w:numId w:val="0"/>
              </w:numPr>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b w:val="0"/>
                <w:color w:val="auto"/>
                <w:spacing w:val="1"/>
                <w:kern w:val="2"/>
                <w:sz w:val="21"/>
                <w:szCs w:val="21"/>
                <w:highlight w:val="none"/>
                <w:lang w:eastAsia="zh-CN"/>
              </w:rPr>
            </w:pPr>
            <w:r>
              <w:rPr>
                <w:rFonts w:hint="eastAsia" w:ascii="宋体" w:hAnsi="宋体" w:eastAsia="宋体" w:cs="Calibri"/>
                <w:b w:val="0"/>
                <w:color w:val="auto"/>
                <w:spacing w:val="1"/>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spacing w:val="1"/>
                <w:kern w:val="2"/>
                <w:sz w:val="21"/>
                <w:szCs w:val="21"/>
                <w:highlight w:val="none"/>
              </w:rPr>
            </w:pPr>
            <w:r>
              <w:rPr>
                <w:rFonts w:hint="eastAsia" w:ascii="宋体" w:hAnsi="宋体" w:eastAsia="宋体" w:cs="Calibri"/>
                <w:color w:val="auto"/>
                <w:kern w:val="2"/>
                <w:sz w:val="21"/>
                <w:szCs w:val="21"/>
                <w:highlight w:val="none"/>
              </w:rPr>
              <w:t>猪瘟、新城疫</w:t>
            </w:r>
          </w:p>
        </w:tc>
        <w:tc>
          <w:tcPr>
            <w:tcW w:w="214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spacing w:val="1"/>
                <w:kern w:val="2"/>
                <w:sz w:val="21"/>
                <w:szCs w:val="21"/>
                <w:highlight w:val="none"/>
              </w:rPr>
            </w:pPr>
            <w:r>
              <w:rPr>
                <w:rFonts w:hint="eastAsia" w:ascii="宋体" w:hAnsi="宋体" w:eastAsia="宋体" w:cs="Calibri"/>
                <w:color w:val="auto"/>
                <w:kern w:val="2"/>
                <w:sz w:val="21"/>
                <w:szCs w:val="21"/>
                <w:highlight w:val="none"/>
              </w:rPr>
              <w:t>——</w:t>
            </w:r>
          </w:p>
        </w:tc>
        <w:tc>
          <w:tcPr>
            <w:tcW w:w="18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eastAsia" w:ascii="宋体" w:hAnsi="宋体" w:eastAsia="宋体" w:cs="Calibri"/>
                <w:color w:val="auto"/>
                <w:spacing w:val="1"/>
                <w:kern w:val="2"/>
                <w:sz w:val="21"/>
                <w:szCs w:val="21"/>
                <w:highlight w:val="none"/>
                <w:lang w:eastAsia="zh-CN"/>
              </w:rPr>
            </w:pPr>
            <w:r>
              <w:rPr>
                <w:rFonts w:hint="eastAsia" w:ascii="宋体" w:hAnsi="宋体" w:eastAsia="宋体" w:cs="Calibri"/>
                <w:color w:val="auto"/>
                <w:kern w:val="2"/>
                <w:sz w:val="21"/>
                <w:szCs w:val="21"/>
                <w:highlight w:val="none"/>
              </w:rPr>
              <w:t>在一个平均潜伏期内</w:t>
            </w:r>
            <w:r>
              <w:rPr>
                <w:rFonts w:hint="eastAsia" w:ascii="宋体" w:hAnsi="宋体" w:eastAsia="宋体" w:cs="Calibri"/>
                <w:color w:val="auto"/>
                <w:spacing w:val="-30"/>
                <w:kern w:val="2"/>
                <w:sz w:val="21"/>
                <w:szCs w:val="21"/>
                <w:highlight w:val="none"/>
              </w:rPr>
              <w:t>，</w:t>
            </w:r>
            <w:r>
              <w:rPr>
                <w:rFonts w:hint="default" w:ascii="Calibri" w:hAnsi="Calibri" w:eastAsia="Calibri" w:cs="Calibri"/>
                <w:color w:val="auto"/>
                <w:kern w:val="2"/>
                <w:sz w:val="21"/>
                <w:szCs w:val="21"/>
                <w:highlight w:val="none"/>
              </w:rPr>
              <w:t>20</w:t>
            </w:r>
            <w:r>
              <w:rPr>
                <w:rFonts w:hint="eastAsia" w:ascii="宋体" w:hAnsi="宋体" w:eastAsia="宋体" w:cs="Calibri"/>
                <w:color w:val="auto"/>
                <w:kern w:val="2"/>
                <w:sz w:val="21"/>
                <w:szCs w:val="21"/>
                <w:highlight w:val="none"/>
              </w:rPr>
              <w:t>个</w:t>
            </w:r>
            <w:r>
              <w:rPr>
                <w:rFonts w:hint="eastAsia" w:ascii="宋体" w:hAnsi="宋体" w:eastAsia="宋体" w:cs="Calibri"/>
                <w:color w:val="auto"/>
                <w:spacing w:val="-2"/>
                <w:kern w:val="2"/>
                <w:sz w:val="21"/>
                <w:szCs w:val="21"/>
                <w:highlight w:val="none"/>
              </w:rPr>
              <w:t>以</w:t>
            </w:r>
            <w:r>
              <w:rPr>
                <w:rFonts w:hint="eastAsia" w:ascii="宋体" w:hAnsi="宋体" w:eastAsia="宋体" w:cs="Calibri"/>
                <w:color w:val="auto"/>
                <w:kern w:val="2"/>
                <w:sz w:val="21"/>
                <w:szCs w:val="21"/>
                <w:highlight w:val="none"/>
              </w:rPr>
              <w:t>上</w:t>
            </w:r>
            <w:r>
              <w:rPr>
                <w:rFonts w:hint="eastAsia" w:ascii="宋体" w:hAnsi="宋体" w:eastAsia="宋体" w:cs="Calibri"/>
                <w:color w:val="auto"/>
                <w:spacing w:val="-30"/>
                <w:kern w:val="2"/>
                <w:sz w:val="21"/>
                <w:szCs w:val="21"/>
                <w:highlight w:val="none"/>
              </w:rPr>
              <w:t>县</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市）发生猪瘟、新城疫疫情，或疫点数达到</w:t>
            </w:r>
            <w:r>
              <w:rPr>
                <w:rFonts w:hint="default" w:ascii="Calibri" w:hAnsi="Calibri" w:eastAsia="Calibri" w:cs="Calibri"/>
                <w:color w:val="auto"/>
                <w:kern w:val="2"/>
                <w:sz w:val="21"/>
                <w:szCs w:val="21"/>
                <w:highlight w:val="none"/>
              </w:rPr>
              <w:t>30</w:t>
            </w:r>
            <w:r>
              <w:rPr>
                <w:rFonts w:hint="eastAsia" w:ascii="宋体" w:hAnsi="宋体" w:eastAsia="宋体" w:cs="Calibri"/>
                <w:color w:val="auto"/>
                <w:kern w:val="2"/>
                <w:sz w:val="21"/>
                <w:szCs w:val="21"/>
                <w:highlight w:val="none"/>
              </w:rPr>
              <w:t>个以上。</w:t>
            </w:r>
          </w:p>
        </w:tc>
        <w:tc>
          <w:tcPr>
            <w:tcW w:w="186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jc w:val="both"/>
              <w:textAlignment w:val="auto"/>
              <w:outlineLvl w:val="9"/>
              <w:rPr>
                <w:rFonts w:hint="eastAsia" w:ascii="宋体" w:hAnsi="宋体" w:eastAsia="宋体" w:cs="Calibri"/>
                <w:color w:val="auto"/>
                <w:spacing w:val="1"/>
                <w:kern w:val="2"/>
                <w:sz w:val="21"/>
                <w:szCs w:val="21"/>
                <w:highlight w:val="none"/>
                <w:lang w:eastAsia="zh-CN"/>
              </w:rPr>
            </w:pPr>
            <w:r>
              <w:rPr>
                <w:rFonts w:hint="eastAsia" w:ascii="宋体" w:hAnsi="宋体" w:eastAsia="宋体" w:cs="Calibri"/>
                <w:color w:val="auto"/>
                <w:kern w:val="2"/>
                <w:sz w:val="21"/>
                <w:szCs w:val="21"/>
                <w:highlight w:val="none"/>
              </w:rPr>
              <w:t>在一个平均潜伏期内，在</w:t>
            </w:r>
            <w:r>
              <w:rPr>
                <w:rFonts w:hint="default" w:ascii="Calibri" w:hAnsi="Calibri" w:eastAsia="Calibri" w:cs="Calibri"/>
                <w:color w:val="auto"/>
                <w:kern w:val="2"/>
                <w:sz w:val="21"/>
                <w:szCs w:val="21"/>
                <w:highlight w:val="none"/>
              </w:rPr>
              <w:t>1</w:t>
            </w:r>
            <w:r>
              <w:rPr>
                <w:rFonts w:hint="eastAsia" w:ascii="宋体" w:hAnsi="宋体" w:eastAsia="宋体" w:cs="Calibri"/>
                <w:color w:val="auto"/>
                <w:spacing w:val="-1"/>
                <w:kern w:val="2"/>
                <w:sz w:val="21"/>
                <w:szCs w:val="21"/>
                <w:highlight w:val="none"/>
              </w:rPr>
              <w:t>个市</w:t>
            </w:r>
            <w:r>
              <w:rPr>
                <w:rFonts w:hint="eastAsia" w:ascii="宋体" w:hAnsi="宋体" w:eastAsia="宋体" w:cs="Calibri"/>
                <w:color w:val="auto"/>
                <w:spacing w:val="-1"/>
                <w:kern w:val="2"/>
                <w:sz w:val="21"/>
                <w:szCs w:val="21"/>
                <w:highlight w:val="none"/>
                <w:lang w:eastAsia="zh-CN"/>
              </w:rPr>
              <w:t>（</w:t>
            </w:r>
            <w:r>
              <w:rPr>
                <w:rFonts w:hint="eastAsia" w:ascii="宋体" w:hAnsi="宋体" w:eastAsia="宋体" w:cs="Calibri"/>
                <w:color w:val="auto"/>
                <w:spacing w:val="-1"/>
                <w:kern w:val="2"/>
                <w:sz w:val="21"/>
                <w:szCs w:val="21"/>
                <w:highlight w:val="none"/>
              </w:rPr>
              <w:t>地）</w:t>
            </w:r>
            <w:r>
              <w:rPr>
                <w:rFonts w:hint="eastAsia" w:ascii="宋体" w:hAnsi="宋体" w:eastAsia="宋体" w:cs="Calibri"/>
                <w:color w:val="auto"/>
                <w:kern w:val="2"/>
                <w:sz w:val="21"/>
                <w:szCs w:val="21"/>
                <w:highlight w:val="none"/>
              </w:rPr>
              <w:t>内</w:t>
            </w:r>
            <w:r>
              <w:rPr>
                <w:rFonts w:hint="eastAsia" w:ascii="宋体" w:hAnsi="宋体" w:eastAsia="宋体" w:cs="Calibri"/>
                <w:color w:val="auto"/>
                <w:spacing w:val="-54"/>
                <w:kern w:val="2"/>
                <w:sz w:val="21"/>
                <w:szCs w:val="21"/>
                <w:highlight w:val="none"/>
              </w:rPr>
              <w:t xml:space="preserve"> </w:t>
            </w:r>
            <w:r>
              <w:rPr>
                <w:rFonts w:hint="default" w:ascii="Calibri" w:hAnsi="Calibri" w:eastAsia="Calibri" w:cs="Calibri"/>
                <w:color w:val="auto"/>
                <w:kern w:val="2"/>
                <w:sz w:val="21"/>
                <w:szCs w:val="21"/>
                <w:highlight w:val="none"/>
              </w:rPr>
              <w:t>5</w:t>
            </w:r>
            <w:r>
              <w:rPr>
                <w:rFonts w:hint="eastAsia" w:ascii="宋体" w:hAnsi="宋体" w:eastAsia="宋体" w:cs="Calibri"/>
                <w:color w:val="auto"/>
                <w:spacing w:val="-1"/>
                <w:kern w:val="2"/>
                <w:sz w:val="21"/>
                <w:szCs w:val="21"/>
                <w:highlight w:val="none"/>
              </w:rPr>
              <w:t>个以上县</w:t>
            </w:r>
            <w:r>
              <w:rPr>
                <w:rFonts w:hint="eastAsia" w:ascii="宋体" w:hAnsi="宋体" w:eastAsia="宋体" w:cs="Calibri"/>
                <w:color w:val="auto"/>
                <w:spacing w:val="-1"/>
                <w:kern w:val="2"/>
                <w:sz w:val="21"/>
                <w:szCs w:val="21"/>
                <w:highlight w:val="none"/>
                <w:lang w:eastAsia="zh-CN"/>
              </w:rPr>
              <w:t>（</w:t>
            </w:r>
            <w:r>
              <w:rPr>
                <w:rFonts w:hint="eastAsia" w:ascii="宋体" w:hAnsi="宋体" w:eastAsia="宋体" w:cs="Calibri"/>
                <w:color w:val="auto"/>
                <w:spacing w:val="-1"/>
                <w:kern w:val="2"/>
                <w:sz w:val="21"/>
                <w:szCs w:val="21"/>
                <w:highlight w:val="none"/>
              </w:rPr>
              <w:t>区）</w:t>
            </w:r>
            <w:r>
              <w:rPr>
                <w:rFonts w:hint="eastAsia" w:ascii="宋体" w:hAnsi="宋体" w:eastAsia="宋体" w:cs="Calibri"/>
                <w:color w:val="auto"/>
                <w:kern w:val="2"/>
                <w:sz w:val="21"/>
                <w:szCs w:val="21"/>
                <w:highlight w:val="none"/>
              </w:rPr>
              <w:t>发生疫情，或疫点数达到</w:t>
            </w:r>
            <w:r>
              <w:rPr>
                <w:rFonts w:hint="default" w:ascii="Calibri" w:hAnsi="Calibri" w:eastAsia="Calibri" w:cs="Calibri"/>
                <w:color w:val="auto"/>
                <w:kern w:val="2"/>
                <w:sz w:val="21"/>
                <w:szCs w:val="21"/>
                <w:highlight w:val="none"/>
              </w:rPr>
              <w:t>10</w:t>
            </w:r>
            <w:r>
              <w:rPr>
                <w:rFonts w:hint="default" w:ascii="Calibri" w:hAnsi="Calibri" w:eastAsia="Calibri" w:cs="Calibri"/>
                <w:color w:val="auto"/>
                <w:spacing w:val="4"/>
                <w:kern w:val="2"/>
                <w:sz w:val="21"/>
                <w:szCs w:val="21"/>
                <w:highlight w:val="none"/>
              </w:rPr>
              <w:t xml:space="preserve"> </w:t>
            </w:r>
            <w:r>
              <w:rPr>
                <w:rFonts w:hint="eastAsia" w:ascii="宋体" w:hAnsi="宋体" w:eastAsia="宋体" w:cs="Calibri"/>
                <w:color w:val="auto"/>
                <w:spacing w:val="-1"/>
                <w:kern w:val="2"/>
                <w:sz w:val="21"/>
                <w:szCs w:val="21"/>
                <w:highlight w:val="none"/>
              </w:rPr>
              <w:t>个以上。</w:t>
            </w: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eastAsia" w:ascii="宋体" w:hAnsi="宋体" w:eastAsia="宋体" w:cs="Calibri"/>
                <w:color w:val="auto"/>
                <w:spacing w:val="1"/>
                <w:kern w:val="2"/>
                <w:sz w:val="21"/>
                <w:szCs w:val="21"/>
                <w:highlight w:val="none"/>
                <w:lang w:eastAsia="zh-CN"/>
              </w:rPr>
            </w:pPr>
            <w:r>
              <w:rPr>
                <w:rFonts w:hint="eastAsia" w:ascii="宋体" w:hAnsi="宋体" w:eastAsia="宋体" w:cs="Calibri"/>
                <w:color w:val="auto"/>
                <w:kern w:val="2"/>
                <w:sz w:val="21"/>
                <w:szCs w:val="21"/>
                <w:highlight w:val="none"/>
              </w:rPr>
              <w:t>在</w:t>
            </w:r>
            <w:r>
              <w:rPr>
                <w:rFonts w:hint="default" w:ascii="Calibri" w:hAnsi="Calibri" w:eastAsia="Calibri" w:cs="Calibri"/>
                <w:color w:val="auto"/>
                <w:kern w:val="2"/>
                <w:sz w:val="21"/>
                <w:szCs w:val="21"/>
                <w:highlight w:val="none"/>
              </w:rPr>
              <w:t>1</w:t>
            </w:r>
            <w:r>
              <w:rPr>
                <w:rFonts w:hint="eastAsia" w:ascii="宋体" w:hAnsi="宋体" w:eastAsia="宋体" w:cs="Calibri"/>
                <w:color w:val="auto"/>
                <w:kern w:val="2"/>
                <w:sz w:val="21"/>
                <w:szCs w:val="21"/>
                <w:highlight w:val="none"/>
              </w:rPr>
              <w:t>个县</w:t>
            </w:r>
            <w:r>
              <w:rPr>
                <w:rFonts w:hint="eastAsia" w:ascii="宋体" w:hAnsi="宋体" w:eastAsia="宋体" w:cs="Calibri"/>
                <w:color w:val="auto"/>
                <w:kern w:val="2"/>
                <w:sz w:val="21"/>
                <w:szCs w:val="21"/>
                <w:highlight w:val="none"/>
                <w:lang w:eastAsia="zh-CN"/>
              </w:rPr>
              <w:t>（</w:t>
            </w:r>
            <w:r>
              <w:rPr>
                <w:rFonts w:hint="eastAsia" w:ascii="宋体" w:hAnsi="宋体" w:eastAsia="宋体" w:cs="Calibri"/>
                <w:color w:val="auto"/>
                <w:kern w:val="2"/>
                <w:sz w:val="21"/>
                <w:szCs w:val="21"/>
                <w:highlight w:val="none"/>
              </w:rPr>
              <w:t>市</w:t>
            </w:r>
            <w:r>
              <w:rPr>
                <w:rFonts w:hint="eastAsia" w:ascii="宋体" w:hAnsi="宋体" w:eastAsia="宋体" w:cs="Calibri"/>
                <w:color w:val="auto"/>
                <w:spacing w:val="-105"/>
                <w:kern w:val="2"/>
                <w:sz w:val="21"/>
                <w:szCs w:val="21"/>
                <w:highlight w:val="none"/>
              </w:rPr>
              <w:t>）</w:t>
            </w:r>
            <w:r>
              <w:rPr>
                <w:rFonts w:hint="eastAsia" w:ascii="宋体" w:hAnsi="宋体" w:eastAsia="宋体" w:cs="Calibri"/>
                <w:color w:val="auto"/>
                <w:kern w:val="2"/>
                <w:sz w:val="21"/>
                <w:szCs w:val="21"/>
                <w:highlight w:val="none"/>
              </w:rPr>
              <w:t>内发生疫情。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59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kern w:val="2"/>
                <w:sz w:val="21"/>
                <w:szCs w:val="21"/>
                <w:highlight w:val="none"/>
              </w:rPr>
            </w:pPr>
            <w:r>
              <w:rPr>
                <w:rFonts w:hint="eastAsia" w:ascii="宋体" w:hAnsi="宋体" w:eastAsia="宋体" w:cs="Calibri"/>
                <w:color w:val="auto"/>
                <w:kern w:val="2"/>
                <w:sz w:val="21"/>
                <w:szCs w:val="21"/>
                <w:highlight w:val="none"/>
              </w:rPr>
              <w:t>牛瘟、</w:t>
            </w:r>
          </w:p>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spacing w:val="1"/>
                <w:kern w:val="2"/>
                <w:sz w:val="21"/>
                <w:szCs w:val="21"/>
                <w:highlight w:val="none"/>
              </w:rPr>
            </w:pPr>
            <w:r>
              <w:rPr>
                <w:rFonts w:hint="eastAsia" w:ascii="宋体" w:hAnsi="宋体" w:eastAsia="宋体" w:cs="Calibri"/>
                <w:color w:val="auto"/>
                <w:kern w:val="2"/>
                <w:sz w:val="21"/>
                <w:szCs w:val="21"/>
                <w:highlight w:val="none"/>
              </w:rPr>
              <w:t>牛肺疫等</w:t>
            </w:r>
          </w:p>
        </w:tc>
        <w:tc>
          <w:tcPr>
            <w:tcW w:w="214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spacing w:val="1"/>
                <w:kern w:val="2"/>
                <w:sz w:val="21"/>
                <w:szCs w:val="21"/>
                <w:highlight w:val="none"/>
              </w:rPr>
            </w:pPr>
            <w:r>
              <w:rPr>
                <w:rFonts w:hint="eastAsia" w:ascii="宋体" w:hAnsi="宋体" w:eastAsia="宋体" w:cs="Calibri"/>
                <w:color w:val="auto"/>
                <w:kern w:val="2"/>
                <w:sz w:val="21"/>
                <w:szCs w:val="21"/>
                <w:highlight w:val="none"/>
              </w:rPr>
              <w:t>——</w:t>
            </w:r>
          </w:p>
        </w:tc>
        <w:tc>
          <w:tcPr>
            <w:tcW w:w="18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spacing w:val="1"/>
                <w:kern w:val="2"/>
                <w:sz w:val="21"/>
                <w:szCs w:val="21"/>
                <w:highlight w:val="none"/>
                <w:lang w:eastAsia="zh-CN"/>
              </w:rPr>
            </w:pPr>
            <w:r>
              <w:rPr>
                <w:rFonts w:hint="eastAsia" w:ascii="宋体" w:hAnsi="宋体" w:eastAsia="宋体" w:cs="Calibri"/>
                <w:color w:val="auto"/>
                <w:spacing w:val="12"/>
                <w:kern w:val="2"/>
                <w:sz w:val="21"/>
                <w:szCs w:val="21"/>
                <w:highlight w:val="none"/>
              </w:rPr>
              <w:t>我国已消灭的牛瘟、牛肺疫等又有发生，或我国尚未发生的疯牛病、非洲猪瘟、非洲马瘟等疫病传入或</w:t>
            </w:r>
            <w:r>
              <w:rPr>
                <w:rFonts w:hint="eastAsia" w:ascii="宋体" w:hAnsi="宋体" w:eastAsia="宋体" w:cs="Calibri"/>
                <w:color w:val="auto"/>
                <w:kern w:val="2"/>
                <w:sz w:val="21"/>
                <w:szCs w:val="21"/>
                <w:highlight w:val="none"/>
              </w:rPr>
              <w:t>发生。</w:t>
            </w:r>
          </w:p>
        </w:tc>
        <w:tc>
          <w:tcPr>
            <w:tcW w:w="186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spacing w:val="1"/>
                <w:kern w:val="2"/>
                <w:sz w:val="21"/>
                <w:szCs w:val="21"/>
                <w:highlight w:val="none"/>
                <w:lang w:eastAsia="zh-CN"/>
              </w:rPr>
            </w:pPr>
            <w:r>
              <w:rPr>
                <w:rFonts w:hint="eastAsia" w:ascii="宋体" w:hAnsi="宋体" w:eastAsia="宋体" w:cs="Calibri"/>
                <w:color w:val="auto"/>
                <w:kern w:val="2"/>
                <w:sz w:val="21"/>
                <w:szCs w:val="21"/>
                <w:highlight w:val="none"/>
              </w:rPr>
              <w:t>——</w:t>
            </w: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eastAsia" w:ascii="宋体" w:hAnsi="宋体" w:eastAsia="宋体" w:cs="Calibri"/>
                <w:color w:val="auto"/>
                <w:spacing w:val="1"/>
                <w:kern w:val="2"/>
                <w:sz w:val="21"/>
                <w:szCs w:val="21"/>
                <w:highlight w:val="none"/>
                <w:lang w:eastAsia="zh-CN"/>
              </w:rPr>
            </w:pPr>
            <w:r>
              <w:rPr>
                <w:rFonts w:hint="eastAsia" w:ascii="宋体" w:hAnsi="宋体" w:eastAsia="宋体" w:cs="Calibri"/>
                <w:color w:val="auto"/>
                <w:kern w:val="2"/>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9" w:hRule="exact"/>
          <w:jc w:val="center"/>
        </w:trPr>
        <w:tc>
          <w:tcPr>
            <w:tcW w:w="159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spacing w:val="45"/>
                <w:kern w:val="2"/>
                <w:sz w:val="21"/>
                <w:szCs w:val="22"/>
                <w:highlight w:val="none"/>
              </w:rPr>
              <w:t>布鲁</w:t>
            </w:r>
            <w:r>
              <w:rPr>
                <w:rFonts w:hint="eastAsia" w:ascii="宋体" w:hAnsi="宋体" w:eastAsia="宋体" w:cs="Calibri"/>
                <w:color w:val="auto"/>
                <w:kern w:val="2"/>
                <w:sz w:val="21"/>
                <w:szCs w:val="22"/>
                <w:highlight w:val="none"/>
              </w:rPr>
              <w:t>氏</w:t>
            </w:r>
            <w:r>
              <w:rPr>
                <w:rFonts w:hint="eastAsia" w:ascii="宋体" w:hAnsi="宋体" w:eastAsia="宋体" w:cs="Calibri"/>
                <w:color w:val="auto"/>
                <w:spacing w:val="-60"/>
                <w:kern w:val="2"/>
                <w:sz w:val="21"/>
                <w:szCs w:val="22"/>
                <w:highlight w:val="none"/>
              </w:rPr>
              <w:t xml:space="preserve"> </w:t>
            </w:r>
            <w:r>
              <w:rPr>
                <w:rFonts w:hint="eastAsia" w:ascii="宋体" w:hAnsi="宋体" w:eastAsia="宋体" w:cs="Calibri"/>
                <w:color w:val="auto"/>
                <w:spacing w:val="45"/>
                <w:kern w:val="2"/>
                <w:sz w:val="21"/>
                <w:szCs w:val="22"/>
                <w:highlight w:val="none"/>
              </w:rPr>
              <w:t>菌病</w:t>
            </w:r>
            <w:r>
              <w:rPr>
                <w:rFonts w:hint="eastAsia" w:ascii="宋体" w:hAnsi="宋体" w:eastAsia="宋体" w:cs="Calibri"/>
                <w:color w:val="auto"/>
                <w:spacing w:val="45"/>
                <w:kern w:val="2"/>
                <w:sz w:val="21"/>
                <w:szCs w:val="22"/>
                <w:highlight w:val="none"/>
                <w:lang w:eastAsia="zh-CN"/>
              </w:rPr>
              <w:t>、</w:t>
            </w:r>
            <w:r>
              <w:rPr>
                <w:rFonts w:hint="eastAsia" w:ascii="宋体" w:hAnsi="宋体" w:eastAsia="宋体" w:cs="Calibri"/>
                <w:color w:val="auto"/>
                <w:kern w:val="2"/>
                <w:sz w:val="21"/>
                <w:szCs w:val="22"/>
                <w:highlight w:val="none"/>
              </w:rPr>
              <w:t>结核</w:t>
            </w:r>
            <w:r>
              <w:rPr>
                <w:rFonts w:hint="eastAsia" w:ascii="宋体" w:hAnsi="宋体" w:eastAsia="宋体" w:cs="Calibri"/>
                <w:color w:val="auto"/>
                <w:spacing w:val="45"/>
                <w:kern w:val="2"/>
                <w:sz w:val="21"/>
                <w:szCs w:val="22"/>
                <w:highlight w:val="none"/>
              </w:rPr>
              <w:t>病</w:t>
            </w:r>
            <w:r>
              <w:rPr>
                <w:rFonts w:hint="eastAsia" w:ascii="宋体" w:hAnsi="宋体" w:eastAsia="宋体" w:cs="Calibri"/>
                <w:color w:val="auto"/>
                <w:spacing w:val="45"/>
                <w:kern w:val="2"/>
                <w:sz w:val="21"/>
                <w:szCs w:val="22"/>
                <w:highlight w:val="none"/>
                <w:lang w:eastAsia="zh-CN"/>
              </w:rPr>
              <w:t>、</w:t>
            </w:r>
            <w:r>
              <w:rPr>
                <w:rFonts w:hint="eastAsia" w:ascii="宋体" w:hAnsi="宋体" w:eastAsia="宋体" w:cs="Calibri"/>
                <w:color w:val="auto"/>
                <w:kern w:val="2"/>
                <w:sz w:val="21"/>
                <w:szCs w:val="22"/>
                <w:highlight w:val="none"/>
              </w:rPr>
              <w:t>狂</w:t>
            </w:r>
            <w:r>
              <w:rPr>
                <w:rFonts w:hint="eastAsia" w:ascii="宋体" w:hAnsi="宋体" w:eastAsia="宋体" w:cs="Calibri"/>
                <w:color w:val="auto"/>
                <w:spacing w:val="120"/>
                <w:kern w:val="2"/>
                <w:sz w:val="21"/>
                <w:szCs w:val="22"/>
                <w:highlight w:val="none"/>
              </w:rPr>
              <w:t xml:space="preserve"> </w:t>
            </w:r>
            <w:r>
              <w:rPr>
                <w:rFonts w:hint="eastAsia" w:ascii="宋体" w:hAnsi="宋体" w:eastAsia="宋体" w:cs="Calibri"/>
                <w:color w:val="auto"/>
                <w:spacing w:val="45"/>
                <w:kern w:val="2"/>
                <w:sz w:val="21"/>
                <w:szCs w:val="22"/>
                <w:highlight w:val="none"/>
              </w:rPr>
              <w:t>犬病</w:t>
            </w:r>
            <w:r>
              <w:rPr>
                <w:rFonts w:hint="eastAsia" w:ascii="宋体" w:hAnsi="宋体" w:eastAsia="宋体" w:cs="Calibri"/>
                <w:color w:val="auto"/>
                <w:kern w:val="2"/>
                <w:sz w:val="21"/>
                <w:szCs w:val="22"/>
                <w:highlight w:val="none"/>
              </w:rPr>
              <w:t>、</w:t>
            </w:r>
            <w:r>
              <w:rPr>
                <w:rFonts w:hint="eastAsia" w:ascii="宋体" w:hAnsi="宋体" w:eastAsia="宋体" w:cs="Calibri"/>
                <w:color w:val="auto"/>
                <w:spacing w:val="45"/>
                <w:kern w:val="2"/>
                <w:sz w:val="21"/>
                <w:szCs w:val="22"/>
                <w:highlight w:val="none"/>
              </w:rPr>
              <w:t>炭疽</w:t>
            </w:r>
            <w:r>
              <w:rPr>
                <w:rFonts w:hint="eastAsia" w:ascii="宋体" w:hAnsi="宋体" w:eastAsia="宋体" w:cs="Calibri"/>
                <w:color w:val="auto"/>
                <w:kern w:val="2"/>
                <w:sz w:val="21"/>
                <w:szCs w:val="22"/>
                <w:highlight w:val="none"/>
              </w:rPr>
              <w:t>等</w:t>
            </w:r>
            <w:r>
              <w:rPr>
                <w:rFonts w:hint="eastAsia" w:ascii="宋体" w:hAnsi="宋体" w:eastAsia="宋体" w:cs="Calibri"/>
                <w:color w:val="auto"/>
                <w:spacing w:val="-60"/>
                <w:kern w:val="2"/>
                <w:sz w:val="21"/>
                <w:szCs w:val="22"/>
                <w:highlight w:val="none"/>
              </w:rPr>
              <w:t xml:space="preserve"> </w:t>
            </w:r>
            <w:r>
              <w:rPr>
                <w:rFonts w:hint="eastAsia" w:ascii="宋体" w:hAnsi="宋体" w:eastAsia="宋体" w:cs="Calibri"/>
                <w:color w:val="auto"/>
                <w:spacing w:val="45"/>
                <w:kern w:val="2"/>
                <w:sz w:val="21"/>
                <w:szCs w:val="22"/>
                <w:highlight w:val="none"/>
              </w:rPr>
              <w:t>二类</w:t>
            </w:r>
            <w:r>
              <w:rPr>
                <w:rFonts w:hint="eastAsia" w:ascii="宋体" w:hAnsi="宋体" w:eastAsia="宋体" w:cs="Calibri"/>
                <w:color w:val="auto"/>
                <w:kern w:val="2"/>
                <w:sz w:val="21"/>
                <w:szCs w:val="22"/>
                <w:highlight w:val="none"/>
              </w:rPr>
              <w:t>动</w:t>
            </w:r>
            <w:r>
              <w:rPr>
                <w:rFonts w:hint="eastAsia" w:ascii="宋体" w:hAnsi="宋体" w:eastAsia="宋体" w:cs="Calibri"/>
                <w:color w:val="auto"/>
                <w:spacing w:val="-60"/>
                <w:kern w:val="2"/>
                <w:sz w:val="21"/>
                <w:szCs w:val="22"/>
                <w:highlight w:val="none"/>
              </w:rPr>
              <w:t xml:space="preserve"> </w:t>
            </w:r>
            <w:r>
              <w:rPr>
                <w:rFonts w:hint="eastAsia" w:ascii="宋体" w:hAnsi="宋体" w:eastAsia="宋体" w:cs="Calibri"/>
                <w:color w:val="auto"/>
                <w:kern w:val="2"/>
                <w:sz w:val="21"/>
                <w:szCs w:val="22"/>
                <w:highlight w:val="none"/>
              </w:rPr>
              <w:t>物疫病</w:t>
            </w:r>
          </w:p>
        </w:tc>
        <w:tc>
          <w:tcPr>
            <w:tcW w:w="21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w:t>
            </w:r>
          </w:p>
        </w:tc>
        <w:tc>
          <w:tcPr>
            <w:tcW w:w="18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在</w:t>
            </w:r>
            <w:r>
              <w:rPr>
                <w:rFonts w:hint="default" w:ascii="Calibri" w:hAnsi="Calibri" w:eastAsia="Calibri" w:cs="Calibri"/>
                <w:color w:val="auto"/>
                <w:kern w:val="2"/>
                <w:sz w:val="21"/>
                <w:szCs w:val="22"/>
                <w:highlight w:val="none"/>
              </w:rPr>
              <w:t>1</w:t>
            </w:r>
            <w:r>
              <w:rPr>
                <w:rFonts w:hint="eastAsia" w:ascii="宋体" w:hAnsi="宋体" w:eastAsia="宋体" w:cs="Calibri"/>
                <w:color w:val="auto"/>
                <w:kern w:val="2"/>
                <w:sz w:val="21"/>
                <w:szCs w:val="22"/>
                <w:highlight w:val="none"/>
              </w:rPr>
              <w:t>个平均潜伏期内，</w:t>
            </w:r>
            <w:r>
              <w:rPr>
                <w:rFonts w:hint="eastAsia" w:ascii="宋体" w:hAnsi="宋体" w:eastAsia="宋体" w:cs="Calibri"/>
                <w:color w:val="auto"/>
                <w:spacing w:val="12"/>
                <w:kern w:val="2"/>
                <w:sz w:val="21"/>
                <w:szCs w:val="22"/>
                <w:highlight w:val="none"/>
              </w:rPr>
              <w:t>二类动物疫病呈爆发</w:t>
            </w:r>
            <w:r>
              <w:rPr>
                <w:rFonts w:hint="eastAsia" w:ascii="宋体" w:hAnsi="宋体" w:eastAsia="宋体" w:cs="Calibri"/>
                <w:color w:val="auto"/>
                <w:kern w:val="2"/>
                <w:sz w:val="21"/>
                <w:szCs w:val="22"/>
                <w:highlight w:val="none"/>
              </w:rPr>
              <w:t>流行，波及</w:t>
            </w:r>
            <w:r>
              <w:rPr>
                <w:rFonts w:hint="default" w:ascii="Calibri" w:hAnsi="Calibri" w:eastAsia="Calibri" w:cs="Calibri"/>
                <w:color w:val="auto"/>
                <w:kern w:val="2"/>
                <w:sz w:val="21"/>
                <w:szCs w:val="22"/>
                <w:highlight w:val="none"/>
              </w:rPr>
              <w:t>3</w:t>
            </w:r>
            <w:r>
              <w:rPr>
                <w:rFonts w:hint="eastAsia" w:ascii="宋体" w:hAnsi="宋体" w:eastAsia="宋体" w:cs="Calibri"/>
                <w:color w:val="auto"/>
                <w:kern w:val="2"/>
                <w:sz w:val="21"/>
                <w:szCs w:val="22"/>
                <w:highlight w:val="none"/>
              </w:rPr>
              <w:t>个以上</w:t>
            </w:r>
            <w:r>
              <w:rPr>
                <w:rFonts w:hint="eastAsia" w:ascii="宋体" w:hAnsi="宋体" w:eastAsia="宋体" w:cs="Calibri"/>
                <w:color w:val="auto"/>
                <w:spacing w:val="12"/>
                <w:kern w:val="2"/>
                <w:sz w:val="21"/>
                <w:szCs w:val="22"/>
                <w:highlight w:val="none"/>
              </w:rPr>
              <w:t>市</w:t>
            </w:r>
            <w:r>
              <w:rPr>
                <w:rFonts w:hint="eastAsia" w:ascii="宋体" w:hAnsi="宋体" w:eastAsia="宋体" w:cs="Calibri"/>
                <w:color w:val="auto"/>
                <w:spacing w:val="12"/>
                <w:kern w:val="2"/>
                <w:sz w:val="21"/>
                <w:szCs w:val="22"/>
                <w:highlight w:val="none"/>
                <w:lang w:eastAsia="zh-CN"/>
              </w:rPr>
              <w:t>（</w:t>
            </w:r>
            <w:r>
              <w:rPr>
                <w:rFonts w:hint="eastAsia" w:ascii="宋体" w:hAnsi="宋体" w:eastAsia="宋体" w:cs="Calibri"/>
                <w:color w:val="auto"/>
                <w:spacing w:val="12"/>
                <w:kern w:val="2"/>
                <w:sz w:val="21"/>
                <w:szCs w:val="22"/>
                <w:highlight w:val="none"/>
              </w:rPr>
              <w:t>地），或其中的人畜共患病发生感染人的病例，并有扩散</w:t>
            </w:r>
            <w:r>
              <w:rPr>
                <w:rFonts w:hint="eastAsia" w:ascii="宋体" w:hAnsi="宋体" w:eastAsia="宋体" w:cs="Calibri"/>
                <w:color w:val="auto"/>
                <w:kern w:val="2"/>
                <w:sz w:val="21"/>
                <w:szCs w:val="22"/>
                <w:highlight w:val="none"/>
              </w:rPr>
              <w:t>趋势。</w:t>
            </w:r>
          </w:p>
        </w:tc>
        <w:tc>
          <w:tcPr>
            <w:tcW w:w="18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在</w:t>
            </w:r>
            <w:r>
              <w:rPr>
                <w:rFonts w:hint="default" w:ascii="Calibri" w:hAnsi="Calibri" w:eastAsia="Calibri" w:cs="Calibri"/>
                <w:color w:val="auto"/>
                <w:kern w:val="2"/>
                <w:sz w:val="21"/>
                <w:szCs w:val="22"/>
                <w:highlight w:val="none"/>
              </w:rPr>
              <w:t>1</w:t>
            </w:r>
            <w:r>
              <w:rPr>
                <w:rFonts w:hint="eastAsia" w:ascii="宋体" w:hAnsi="宋体" w:eastAsia="宋体" w:cs="Calibri"/>
                <w:color w:val="auto"/>
                <w:spacing w:val="-1"/>
                <w:kern w:val="2"/>
                <w:sz w:val="21"/>
                <w:szCs w:val="22"/>
                <w:highlight w:val="none"/>
              </w:rPr>
              <w:t>个平均潜伏期</w:t>
            </w:r>
            <w:r>
              <w:rPr>
                <w:rFonts w:hint="eastAsia" w:ascii="宋体" w:hAnsi="宋体" w:eastAsia="宋体" w:cs="Calibri"/>
                <w:color w:val="auto"/>
                <w:kern w:val="2"/>
                <w:sz w:val="21"/>
                <w:szCs w:val="22"/>
                <w:highlight w:val="none"/>
              </w:rPr>
              <w:t>内，二类动物疫病爆发流行。</w:t>
            </w:r>
          </w:p>
        </w:tc>
        <w:tc>
          <w:tcPr>
            <w:tcW w:w="18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二</w:t>
            </w:r>
            <w:r>
              <w:rPr>
                <w:rFonts w:hint="eastAsia" w:ascii="宋体" w:hAnsi="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三类动物疫病在在</w:t>
            </w:r>
            <w:r>
              <w:rPr>
                <w:rFonts w:hint="default" w:ascii="Calibri" w:hAnsi="Calibri" w:eastAsia="Calibri" w:cs="Calibri"/>
                <w:color w:val="auto"/>
                <w:kern w:val="2"/>
                <w:sz w:val="21"/>
                <w:szCs w:val="22"/>
                <w:highlight w:val="none"/>
              </w:rPr>
              <w:t>1</w:t>
            </w:r>
            <w:r>
              <w:rPr>
                <w:rFonts w:hint="eastAsia" w:ascii="宋体" w:hAnsi="宋体" w:eastAsia="宋体" w:cs="Calibri"/>
                <w:color w:val="auto"/>
                <w:kern w:val="2"/>
                <w:sz w:val="21"/>
                <w:szCs w:val="22"/>
                <w:highlight w:val="none"/>
              </w:rPr>
              <w:t>个县</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市</w:t>
            </w:r>
            <w:r>
              <w:rPr>
                <w:rFonts w:hint="eastAsia" w:ascii="宋体" w:hAnsi="宋体" w:eastAsia="宋体" w:cs="Calibri"/>
                <w:color w:val="auto"/>
                <w:spacing w:val="-105"/>
                <w:kern w:val="2"/>
                <w:sz w:val="21"/>
                <w:szCs w:val="22"/>
                <w:highlight w:val="none"/>
              </w:rPr>
              <w:t>）</w:t>
            </w:r>
            <w:r>
              <w:rPr>
                <w:rFonts w:hint="eastAsia" w:ascii="宋体" w:hAnsi="宋体" w:eastAsia="宋体" w:cs="Calibri"/>
                <w:color w:val="auto"/>
                <w:kern w:val="2"/>
                <w:sz w:val="21"/>
                <w:szCs w:val="22"/>
                <w:highlight w:val="none"/>
              </w:rPr>
              <w:t>内呈爆发流行。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0" w:hRule="exact"/>
          <w:jc w:val="center"/>
        </w:trPr>
        <w:tc>
          <w:tcPr>
            <w:tcW w:w="159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其他</w:t>
            </w:r>
          </w:p>
        </w:tc>
        <w:tc>
          <w:tcPr>
            <w:tcW w:w="21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w:t>
            </w:r>
          </w:p>
        </w:tc>
        <w:tc>
          <w:tcPr>
            <w:tcW w:w="18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w:t>
            </w:r>
          </w:p>
        </w:tc>
        <w:tc>
          <w:tcPr>
            <w:tcW w:w="18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高致病性禽流感、口蹄疫、炭疽等高致病 性病原微生物菌种</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毒种发生丢失。</w:t>
            </w:r>
          </w:p>
        </w:tc>
        <w:tc>
          <w:tcPr>
            <w:tcW w:w="18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8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exact"/>
          <w:jc w:val="center"/>
        </w:trPr>
        <w:tc>
          <w:tcPr>
            <w:tcW w:w="159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wordWrap/>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p>
        </w:tc>
        <w:tc>
          <w:tcPr>
            <w:tcW w:w="21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农业部认定。</w:t>
            </w:r>
          </w:p>
        </w:tc>
        <w:tc>
          <w:tcPr>
            <w:tcW w:w="18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spacing w:val="12"/>
                <w:kern w:val="2"/>
                <w:sz w:val="21"/>
                <w:szCs w:val="22"/>
                <w:highlight w:val="none"/>
              </w:rPr>
              <w:t>农业部或省级政府兽</w:t>
            </w:r>
            <w:r>
              <w:rPr>
                <w:rFonts w:hint="eastAsia" w:ascii="宋体" w:hAnsi="宋体" w:eastAsia="宋体" w:cs="Calibri"/>
                <w:color w:val="auto"/>
                <w:kern w:val="2"/>
                <w:sz w:val="21"/>
                <w:szCs w:val="22"/>
                <w:highlight w:val="none"/>
              </w:rPr>
              <w:t>医行政部门认定。</w:t>
            </w:r>
          </w:p>
        </w:tc>
        <w:tc>
          <w:tcPr>
            <w:tcW w:w="18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市</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地）以上政府兽医行政部门认定。</w:t>
            </w:r>
          </w:p>
        </w:tc>
        <w:tc>
          <w:tcPr>
            <w:tcW w:w="18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left"/>
              <w:textAlignment w:val="auto"/>
              <w:outlineLvl w:val="9"/>
              <w:rPr>
                <w:rFonts w:hint="default" w:ascii="Calibri" w:hAnsi="Calibri" w:cs="Calibri"/>
                <w:color w:val="auto"/>
                <w:kern w:val="2"/>
                <w:sz w:val="24"/>
                <w:szCs w:val="22"/>
                <w:highlight w:val="none"/>
              </w:rPr>
            </w:pPr>
            <w:r>
              <w:rPr>
                <w:rFonts w:hint="eastAsia" w:ascii="宋体" w:hAnsi="宋体" w:eastAsia="宋体" w:cs="Calibri"/>
                <w:color w:val="auto"/>
                <w:kern w:val="2"/>
                <w:sz w:val="21"/>
                <w:szCs w:val="22"/>
                <w:highlight w:val="none"/>
              </w:rPr>
              <w:t>县以上政府兽医行政部门认定。</w:t>
            </w:r>
          </w:p>
        </w:tc>
      </w:tr>
    </w:tbl>
    <w:p>
      <w:pPr>
        <w:pStyle w:val="4"/>
        <w:kinsoku w:val="0"/>
        <w:overflowPunct w:val="0"/>
        <w:spacing w:before="85"/>
        <w:ind w:left="0" w:leftChars="0" w:firstLine="0" w:firstLineChars="0"/>
        <w:outlineLvl w:val="9"/>
        <w:rPr>
          <w:rFonts w:hint="eastAsia" w:ascii="黑体" w:hAnsi="黑体" w:eastAsia="黑体"/>
          <w:b w:val="0"/>
          <w:color w:val="auto"/>
          <w:sz w:val="32"/>
          <w:highlight w:val="none"/>
          <w:lang w:eastAsia="zh-CN"/>
        </w:rPr>
      </w:pPr>
      <w:r>
        <w:rPr>
          <w:rFonts w:hint="eastAsia" w:ascii="宋体" w:hAnsi="宋体" w:eastAsia="宋体"/>
          <w:color w:val="auto"/>
          <w:sz w:val="24"/>
          <w:highlight w:val="none"/>
        </w:rPr>
        <w:t>〔注：依据《国家突发重大动物疫情应急预案》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国办函</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2005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51</w:t>
      </w:r>
      <w:r>
        <w:rPr>
          <w:rFonts w:hint="eastAsia" w:ascii="宋体" w:hAnsi="宋体" w:eastAsia="宋体"/>
          <w:color w:val="auto"/>
          <w:spacing w:val="-60"/>
          <w:sz w:val="24"/>
          <w:highlight w:val="none"/>
        </w:rPr>
        <w:t xml:space="preserve"> </w:t>
      </w:r>
      <w:r>
        <w:rPr>
          <w:rFonts w:hint="eastAsia" w:ascii="宋体" w:hAnsi="宋体" w:eastAsia="宋体"/>
          <w:color w:val="auto"/>
          <w:sz w:val="24"/>
          <w:highlight w:val="none"/>
        </w:rPr>
        <w:t>号）制表。</w:t>
      </w:r>
      <w:bookmarkStart w:id="1089" w:name="_Toc506_WPSOffice_Level1"/>
    </w:p>
    <w:p>
      <w:pPr>
        <w:pStyle w:val="4"/>
        <w:kinsoku w:val="0"/>
        <w:overflowPunct w:val="0"/>
        <w:spacing w:before="85"/>
        <w:ind w:left="0" w:leftChars="0" w:firstLine="640" w:firstLineChars="200"/>
        <w:outlineLvl w:val="9"/>
        <w:rPr>
          <w:rFonts w:hint="eastAsia" w:ascii="黑体" w:hAnsi="黑体" w:eastAsia="黑体"/>
          <w:b w:val="0"/>
          <w:color w:val="auto"/>
          <w:sz w:val="32"/>
          <w:highlight w:val="none"/>
          <w:lang w:eastAsia="zh-CN"/>
        </w:rPr>
      </w:pPr>
    </w:p>
    <w:p>
      <w:pPr>
        <w:pStyle w:val="4"/>
        <w:kinsoku w:val="0"/>
        <w:overflowPunct w:val="0"/>
        <w:spacing w:before="85"/>
        <w:ind w:left="0" w:leftChars="0" w:firstLine="640" w:firstLineChars="200"/>
        <w:outlineLvl w:val="9"/>
        <w:rPr>
          <w:rFonts w:hint="eastAsia" w:ascii="黑体" w:hAnsi="黑体" w:eastAsia="黑体"/>
          <w:b w:val="0"/>
          <w:color w:val="auto"/>
          <w:sz w:val="32"/>
          <w:highlight w:val="none"/>
          <w:lang w:eastAsia="zh-CN"/>
        </w:rPr>
      </w:pPr>
    </w:p>
    <w:p>
      <w:pPr>
        <w:pStyle w:val="4"/>
        <w:kinsoku w:val="0"/>
        <w:overflowPunct w:val="0"/>
        <w:spacing w:before="85"/>
        <w:ind w:left="0" w:leftChars="0" w:firstLine="640" w:firstLineChars="200"/>
        <w:outlineLvl w:val="9"/>
        <w:rPr>
          <w:rFonts w:hint="eastAsia" w:ascii="黑体" w:hAnsi="黑体" w:eastAsia="黑体"/>
          <w:b w:val="0"/>
          <w:color w:val="auto"/>
          <w:sz w:val="32"/>
          <w:highlight w:val="none"/>
          <w:lang w:eastAsia="zh-CN"/>
        </w:rPr>
      </w:pPr>
      <w:bookmarkStart w:id="1093" w:name="_GoBack"/>
      <w:bookmarkEnd w:id="1093"/>
      <w:r>
        <w:rPr>
          <w:rFonts w:hint="eastAsia" w:ascii="黑体" w:hAnsi="黑体" w:eastAsia="黑体"/>
          <w:b w:val="0"/>
          <w:color w:val="auto"/>
          <w:sz w:val="32"/>
          <w:highlight w:val="none"/>
          <w:lang w:eastAsia="zh-CN"/>
        </w:rPr>
        <w:t>四、社会安全类</w:t>
      </w:r>
      <w:bookmarkEnd w:id="1089"/>
    </w:p>
    <w:tbl>
      <w:tblPr>
        <w:tblStyle w:val="10"/>
        <w:tblW w:w="9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531"/>
        <w:gridCol w:w="4593"/>
        <w:gridCol w:w="3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110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类</w:t>
            </w:r>
            <w:r>
              <w:rPr>
                <w:rFonts w:hint="eastAsia" w:ascii="宋体" w:hAnsi="宋体" w:eastAsia="宋体" w:cs="Calibri"/>
                <w:b/>
                <w:color w:val="auto"/>
                <w:spacing w:val="-5"/>
                <w:kern w:val="2"/>
                <w:sz w:val="24"/>
                <w:szCs w:val="22"/>
                <w:highlight w:val="none"/>
              </w:rPr>
              <w:t xml:space="preserve"> </w:t>
            </w:r>
            <w:r>
              <w:rPr>
                <w:rFonts w:hint="eastAsia" w:ascii="宋体" w:hAnsi="宋体" w:eastAsia="宋体" w:cs="Calibri"/>
                <w:b/>
                <w:color w:val="auto"/>
                <w:kern w:val="2"/>
                <w:sz w:val="24"/>
                <w:szCs w:val="22"/>
                <w:highlight w:val="none"/>
              </w:rPr>
              <w:t>型</w:t>
            </w: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特</w:t>
            </w:r>
            <w:r>
              <w:rPr>
                <w:rFonts w:hint="eastAsia" w:ascii="宋体" w:hAnsi="宋体" w:eastAsia="宋体" w:cs="Calibri"/>
                <w:b/>
                <w:color w:val="auto"/>
                <w:spacing w:val="-4"/>
                <w:kern w:val="2"/>
                <w:sz w:val="24"/>
                <w:szCs w:val="22"/>
                <w:highlight w:val="none"/>
              </w:rPr>
              <w:t xml:space="preserve"> </w:t>
            </w:r>
            <w:r>
              <w:rPr>
                <w:rFonts w:hint="eastAsia" w:ascii="宋体" w:hAnsi="宋体" w:eastAsia="宋体" w:cs="Calibri"/>
                <w:b/>
                <w:color w:val="auto"/>
                <w:kern w:val="2"/>
                <w:sz w:val="24"/>
                <w:szCs w:val="22"/>
                <w:highlight w:val="none"/>
              </w:rPr>
              <w:t>大</w:t>
            </w:r>
            <w:r>
              <w:rPr>
                <w:rFonts w:hint="eastAsia" w:ascii="宋体" w:hAnsi="宋体" w:eastAsia="宋体" w:cs="Calibri"/>
                <w:b/>
                <w:color w:val="auto"/>
                <w:spacing w:val="-3"/>
                <w:kern w:val="2"/>
                <w:sz w:val="24"/>
                <w:szCs w:val="22"/>
                <w:highlight w:val="none"/>
              </w:rPr>
              <w:t xml:space="preserve"> </w:t>
            </w:r>
            <w:r>
              <w:rPr>
                <w:rFonts w:hint="eastAsia" w:ascii="宋体" w:hAnsi="宋体" w:eastAsia="宋体" w:cs="Calibri"/>
                <w:b/>
                <w:color w:val="auto"/>
                <w:kern w:val="2"/>
                <w:sz w:val="24"/>
                <w:szCs w:val="22"/>
                <w:highlight w:val="none"/>
              </w:rPr>
              <w:t>级</w:t>
            </w:r>
            <w:r>
              <w:rPr>
                <w:rFonts w:hint="eastAsia" w:ascii="宋体" w:hAnsi="宋体" w:eastAsia="宋体" w:cs="Calibri"/>
                <w:b/>
                <w:color w:val="auto"/>
                <w:spacing w:val="-3"/>
                <w:kern w:val="2"/>
                <w:sz w:val="24"/>
                <w:szCs w:val="22"/>
                <w:highlight w:val="none"/>
              </w:rPr>
              <w:t xml:space="preserve"> </w:t>
            </w:r>
            <w:r>
              <w:rPr>
                <w:rFonts w:hint="eastAsia" w:ascii="宋体" w:hAnsi="宋体" w:eastAsia="宋体" w:cs="Calibri"/>
                <w:b/>
                <w:color w:val="auto"/>
                <w:kern w:val="2"/>
                <w:sz w:val="24"/>
                <w:szCs w:val="22"/>
                <w:highlight w:val="none"/>
              </w:rPr>
              <w:t>别</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4"/>
                <w:szCs w:val="22"/>
                <w:highlight w:val="none"/>
              </w:rPr>
              <w:t>重</w:t>
            </w:r>
            <w:r>
              <w:rPr>
                <w:rFonts w:hint="eastAsia" w:ascii="宋体" w:hAnsi="宋体" w:eastAsia="宋体" w:cs="Calibri"/>
                <w:b/>
                <w:color w:val="auto"/>
                <w:spacing w:val="-4"/>
                <w:kern w:val="2"/>
                <w:sz w:val="24"/>
                <w:szCs w:val="22"/>
                <w:highlight w:val="none"/>
              </w:rPr>
              <w:t xml:space="preserve"> </w:t>
            </w:r>
            <w:r>
              <w:rPr>
                <w:rFonts w:hint="eastAsia" w:ascii="宋体" w:hAnsi="宋体" w:eastAsia="宋体" w:cs="Calibri"/>
                <w:b/>
                <w:color w:val="auto"/>
                <w:kern w:val="2"/>
                <w:sz w:val="24"/>
                <w:szCs w:val="22"/>
                <w:highlight w:val="none"/>
              </w:rPr>
              <w:t>大</w:t>
            </w:r>
            <w:r>
              <w:rPr>
                <w:rFonts w:hint="eastAsia" w:ascii="宋体" w:hAnsi="宋体" w:eastAsia="宋体" w:cs="Calibri"/>
                <w:b/>
                <w:color w:val="auto"/>
                <w:spacing w:val="-3"/>
                <w:kern w:val="2"/>
                <w:sz w:val="24"/>
                <w:szCs w:val="22"/>
                <w:highlight w:val="none"/>
              </w:rPr>
              <w:t xml:space="preserve"> </w:t>
            </w:r>
            <w:r>
              <w:rPr>
                <w:rFonts w:hint="eastAsia" w:ascii="宋体" w:hAnsi="宋体" w:eastAsia="宋体" w:cs="Calibri"/>
                <w:b/>
                <w:color w:val="auto"/>
                <w:kern w:val="2"/>
                <w:sz w:val="24"/>
                <w:szCs w:val="22"/>
                <w:highlight w:val="none"/>
              </w:rPr>
              <w:t>级</w:t>
            </w:r>
            <w:r>
              <w:rPr>
                <w:rFonts w:hint="eastAsia" w:ascii="宋体" w:hAnsi="宋体" w:eastAsia="宋体" w:cs="Calibri"/>
                <w:b/>
                <w:color w:val="auto"/>
                <w:spacing w:val="-3"/>
                <w:kern w:val="2"/>
                <w:sz w:val="24"/>
                <w:szCs w:val="22"/>
                <w:highlight w:val="none"/>
              </w:rPr>
              <w:t xml:space="preserve"> </w:t>
            </w:r>
            <w:r>
              <w:rPr>
                <w:rFonts w:hint="eastAsia" w:ascii="宋体" w:hAnsi="宋体" w:eastAsia="宋体" w:cs="Calibri"/>
                <w:b/>
                <w:color w:val="auto"/>
                <w:kern w:val="2"/>
                <w:sz w:val="24"/>
                <w:szCs w:val="22"/>
                <w:highlight w:val="none"/>
              </w:rPr>
              <w:t>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exact"/>
          <w:jc w:val="center"/>
        </w:trPr>
        <w:tc>
          <w:tcPr>
            <w:tcW w:w="577" w:type="dxa"/>
            <w:vMerge w:val="restart"/>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社 会 安 全 事 件</w:t>
            </w:r>
          </w:p>
        </w:tc>
        <w:tc>
          <w:tcPr>
            <w:tcW w:w="53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val="en-US" w:eastAsia="zh-CN"/>
              </w:rPr>
            </w:pPr>
            <w:r>
              <w:rPr>
                <w:rFonts w:hint="eastAsia" w:ascii="宋体" w:hAnsi="宋体" w:eastAsia="宋体" w:cs="Calibri"/>
                <w:b/>
                <w:color w:val="auto"/>
                <w:kern w:val="2"/>
                <w:sz w:val="21"/>
                <w:szCs w:val="22"/>
                <w:highlight w:val="none"/>
                <w:lang w:val="en-US" w:eastAsia="zh-CN"/>
              </w:rPr>
              <w:t>1</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群</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体</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b/>
                <w:color w:val="auto"/>
                <w:kern w:val="2"/>
                <w:sz w:val="21"/>
                <w:szCs w:val="22"/>
                <w:highlight w:val="none"/>
              </w:rPr>
              <w:t>事</w:t>
            </w:r>
            <w:r>
              <w:rPr>
                <w:rFonts w:hint="eastAsia" w:ascii="宋体" w:hAnsi="宋体" w:eastAsia="宋体" w:cs="Calibri"/>
                <w:b/>
                <w:color w:val="auto"/>
                <w:kern w:val="2"/>
                <w:sz w:val="21"/>
                <w:szCs w:val="22"/>
                <w:highlight w:val="none"/>
                <w:lang w:eastAsia="zh-CN"/>
              </w:rPr>
              <w:t>件</w:t>
            </w: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1）一次参与人数5000人以上，严重影响社会稳定的事件；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1）参与人数在1000-5000人，非法集会游行示威、上访请愿、聚众闹事、罢工</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市、课）等，或人数不多但涉及面广和有可能进京的非法集会和集体上访事件；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2）冲击、围攻县级以上党政军机关和要害部门，打、砸、抢、烧乡镇以上党政军机关事件；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3）参与人员对抗性特征突出，已发生大规模的打砸、抢、烧等违法犯罪行为；</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2）涉及境内外宗教组织背景的大型非法宗教活动，或因民族宗教问题引发的严重影响民族团结的群体性事件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4）阻断铁路、国道、高速公路和重要交通枢纽、城市交通8小时停运，或阻挠、妨碍国家重点建设工程施工，造成24小时以上停工事件；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3）因土地、矿产、水资源、森林、草原、水域等权属争议和环境污染、生态破坏引发的，造成严重后果的群体性事件；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5）造成10人以上死亡或30人以上受伤，严重危害社会稳定的事件；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4）造成3-10人死亡，或10-30人受伤群体性事件；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6）高校内聚集事件失控，并未经批准走出校门进行大规模游行、集会、绝食、静坐、请愿等行为，引发不同地区连锁反应，严重影响社会稳定；</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5）高校校园网上出现大范围串联、煽动和蛊惑信息，校内聚集规模迅速扩大并出现多校串联聚集趋势，学校正常教育教学秩序受到严重影响甚至瘫痪，或因高校统一招生试题泄密引发的群体性事件；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7）参与人数500人以上，或造成重大人员伤亡的群体性械斗、冲突事件；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6）参与人数200-500人，或造成较大人员伤亡的群体性械斗、冲突事件；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8）参与人数在10人以上的暴狱事件；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9）出现全国范围或跨省</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区、市），或跨区域的严重影响社会稳定的互动性连锁反应；</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both"/>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spacing w:val="-6"/>
                <w:kern w:val="2"/>
                <w:sz w:val="21"/>
                <w:szCs w:val="22"/>
                <w:highlight w:val="none"/>
                <w:lang w:eastAsia="zh-CN"/>
              </w:rPr>
              <w:t>（</w:t>
            </w:r>
            <w:r>
              <w:rPr>
                <w:rFonts w:hint="eastAsia" w:ascii="宋体" w:hAnsi="宋体" w:eastAsia="宋体" w:cs="Calibri"/>
                <w:color w:val="auto"/>
                <w:spacing w:val="-6"/>
                <w:kern w:val="2"/>
                <w:sz w:val="21"/>
                <w:szCs w:val="22"/>
                <w:highlight w:val="none"/>
              </w:rPr>
              <w:t>7）已出现跨省</w:t>
            </w:r>
            <w:r>
              <w:rPr>
                <w:rFonts w:hint="eastAsia" w:ascii="宋体" w:hAnsi="宋体" w:eastAsia="宋体" w:cs="Calibri"/>
                <w:color w:val="auto"/>
                <w:spacing w:val="-6"/>
                <w:kern w:val="2"/>
                <w:sz w:val="21"/>
                <w:szCs w:val="22"/>
                <w:highlight w:val="none"/>
                <w:lang w:eastAsia="zh-CN"/>
              </w:rPr>
              <w:t>（</w:t>
            </w:r>
            <w:r>
              <w:rPr>
                <w:rFonts w:hint="eastAsia" w:ascii="宋体" w:hAnsi="宋体" w:eastAsia="宋体" w:cs="Calibri"/>
                <w:color w:val="auto"/>
                <w:spacing w:val="-6"/>
                <w:kern w:val="2"/>
                <w:sz w:val="21"/>
                <w:szCs w:val="22"/>
                <w:highlight w:val="none"/>
              </w:rPr>
              <w:t>区、市）或行业影响社会稳定的连锁反应，或造成了较严重的危害和损失，事态仍可能进一步扩大和升级；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10）其它视情需要作为特别重大群体性事件对待的事件。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8）其它视情况需要作为重大群体性事件对待的事件。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rPr>
            </w:pPr>
            <w:r>
              <w:rPr>
                <w:rFonts w:hint="eastAsia" w:ascii="宋体" w:hAnsi="宋体" w:eastAsia="宋体" w:cs="Calibri"/>
                <w:b/>
                <w:color w:val="auto"/>
                <w:kern w:val="2"/>
                <w:sz w:val="21"/>
                <w:szCs w:val="22"/>
                <w:highlight w:val="none"/>
              </w:rPr>
              <w:t>2</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rPr>
            </w:pPr>
            <w:r>
              <w:rPr>
                <w:rFonts w:hint="eastAsia" w:ascii="宋体" w:hAnsi="宋体" w:eastAsia="宋体" w:cs="Calibri"/>
                <w:b/>
                <w:color w:val="auto"/>
                <w:kern w:val="2"/>
                <w:sz w:val="21"/>
                <w:szCs w:val="22"/>
                <w:highlight w:val="none"/>
              </w:rPr>
              <w:t>金</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rPr>
            </w:pPr>
            <w:r>
              <w:rPr>
                <w:rFonts w:hint="eastAsia" w:ascii="宋体" w:hAnsi="宋体" w:eastAsia="宋体" w:cs="Calibri"/>
                <w:b/>
                <w:color w:val="auto"/>
                <w:kern w:val="2"/>
                <w:sz w:val="21"/>
                <w:szCs w:val="22"/>
                <w:highlight w:val="none"/>
              </w:rPr>
              <w:t>融</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rPr>
            </w:pPr>
            <w:r>
              <w:rPr>
                <w:rFonts w:hint="eastAsia" w:ascii="宋体" w:hAnsi="宋体" w:eastAsia="宋体" w:cs="Calibri"/>
                <w:b/>
                <w:color w:val="auto"/>
                <w:kern w:val="2"/>
                <w:sz w:val="21"/>
                <w:szCs w:val="22"/>
                <w:highlight w:val="none"/>
              </w:rPr>
              <w:t>突</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rPr>
            </w:pPr>
            <w:r>
              <w:rPr>
                <w:rFonts w:hint="eastAsia" w:ascii="宋体" w:hAnsi="宋体" w:eastAsia="宋体" w:cs="Calibri"/>
                <w:b/>
                <w:color w:val="auto"/>
                <w:kern w:val="2"/>
                <w:sz w:val="21"/>
                <w:szCs w:val="22"/>
                <w:highlight w:val="none"/>
              </w:rPr>
              <w:t>发</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val="en-US" w:eastAsia="zh-CN"/>
              </w:rPr>
            </w:pPr>
            <w:r>
              <w:rPr>
                <w:rFonts w:hint="eastAsia" w:ascii="宋体" w:hAnsi="宋体" w:eastAsia="宋体" w:cs="Calibri"/>
                <w:b/>
                <w:color w:val="auto"/>
                <w:kern w:val="2"/>
                <w:sz w:val="21"/>
                <w:szCs w:val="22"/>
                <w:highlight w:val="none"/>
              </w:rPr>
              <w:t>事</w:t>
            </w:r>
            <w:r>
              <w:rPr>
                <w:rFonts w:hint="eastAsia" w:ascii="宋体" w:hAnsi="宋体" w:eastAsia="宋体" w:cs="Calibri"/>
                <w:b/>
                <w:color w:val="auto"/>
                <w:kern w:val="2"/>
                <w:sz w:val="21"/>
                <w:szCs w:val="22"/>
                <w:highlight w:val="none"/>
                <w:lang w:eastAsia="zh-CN"/>
              </w:rPr>
              <w:t>件</w:t>
            </w: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lang w:val="en-US" w:eastAsia="zh-CN"/>
              </w:rPr>
              <w:t>1</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具有全国性影响且涉及本地区银行业金融机构的突发事件；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lang w:val="en-US" w:eastAsia="zh-CN"/>
              </w:rPr>
              <w:t>1</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对金融行业造成影响，但未造成全国性影响的金融突发事件；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2）金融行业已出现或将要出现连锁反应，需要各有关部门协同配合共同处置的金融突发事件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2）所涉及省</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区、市）监管部门不能单独 应对，需进行跨省</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区、市）或跨部门协调的金融突发事件；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jc w:val="center"/>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5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3）国际上出现的，已经影响或极有可能影响国内宏观金融稳定的金融突发事件。</w:t>
            </w:r>
          </w:p>
        </w:tc>
        <w:tc>
          <w:tcPr>
            <w:tcW w:w="395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widowControl w:val="0"/>
              <w:kinsoku w:val="0"/>
              <w:wordWrap/>
              <w:overflowPunct w:val="0"/>
              <w:adjustRightInd/>
              <w:snapToGrid/>
              <w:spacing w:before="0" w:beforeAutospacing="0" w:after="0" w:afterAutospacing="0" w:line="26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rPr>
              <w:t>——</w:t>
            </w:r>
          </w:p>
        </w:tc>
      </w:tr>
    </w:tbl>
    <w:p>
      <w:pPr>
        <w:spacing w:line="40" w:lineRule="exact"/>
      </w:pPr>
    </w:p>
    <w:tbl>
      <w:tblPr>
        <w:tblStyle w:val="10"/>
        <w:tblpPr w:leftFromText="180" w:rightFromText="180" w:vertAnchor="text" w:horzAnchor="page" w:tblpX="1277" w:tblpY="1"/>
        <w:tblOverlap w:val="never"/>
        <w:tblW w:w="967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85"/>
        <w:gridCol w:w="540"/>
        <w:gridCol w:w="4605"/>
        <w:gridCol w:w="39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468" w:hRule="exact"/>
        </w:trPr>
        <w:tc>
          <w:tcPr>
            <w:tcW w:w="585" w:type="dxa"/>
            <w:vMerge w:val="restart"/>
            <w:tcBorders>
              <w:tl2br w:val="nil"/>
              <w:tr2bl w:val="nil"/>
            </w:tcBorders>
            <w:noWrap w:val="0"/>
            <w:textDirection w:val="tbRlV"/>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社 会 安 全 事 件</w:t>
            </w:r>
          </w:p>
        </w:tc>
        <w:tc>
          <w:tcPr>
            <w:tcW w:w="540" w:type="dxa"/>
            <w:vMerge w:val="restart"/>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val="en-US" w:eastAsia="zh-CN"/>
              </w:rPr>
            </w:pPr>
            <w:r>
              <w:rPr>
                <w:rFonts w:hint="eastAsia" w:ascii="宋体" w:hAnsi="宋体" w:eastAsia="宋体" w:cs="Calibri"/>
                <w:b/>
                <w:color w:val="auto"/>
                <w:kern w:val="2"/>
                <w:sz w:val="21"/>
                <w:szCs w:val="22"/>
                <w:highlight w:val="none"/>
                <w:lang w:val="en-US" w:eastAsia="zh-CN"/>
              </w:rPr>
              <w:t>3</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val="en-US" w:eastAsia="zh-CN"/>
              </w:rPr>
            </w:pPr>
            <w:r>
              <w:rPr>
                <w:rFonts w:hint="eastAsia" w:ascii="宋体" w:hAnsi="宋体" w:eastAsia="宋体" w:cs="Calibri"/>
                <w:b/>
                <w:color w:val="auto"/>
                <w:kern w:val="2"/>
                <w:sz w:val="21"/>
                <w:szCs w:val="22"/>
                <w:highlight w:val="none"/>
                <w:lang w:val="en-US" w:eastAsia="zh-CN"/>
              </w:rPr>
              <w:t>影响市场稳定事件</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val="en-US" w:eastAsia="zh-CN"/>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val="en-US" w:eastAsia="zh-CN"/>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val="en-US" w:eastAsia="zh-CN"/>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val="en-US" w:eastAsia="zh-CN"/>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eastAsia="zh-CN"/>
              </w:rPr>
            </w:pPr>
          </w:p>
        </w:tc>
        <w:tc>
          <w:tcPr>
            <w:tcW w:w="4605" w:type="dxa"/>
            <w:tcBorders>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spacing w:val="-1"/>
                <w:kern w:val="2"/>
                <w:position w:val="1"/>
                <w:sz w:val="21"/>
                <w:szCs w:val="22"/>
                <w:highlight w:val="none"/>
                <w:lang w:eastAsia="zh-CN"/>
              </w:rPr>
              <w:t>（</w:t>
            </w:r>
            <w:r>
              <w:rPr>
                <w:rFonts w:hint="eastAsia" w:ascii="宋体" w:hAnsi="宋体" w:eastAsia="宋体" w:cs="Calibri"/>
                <w:color w:val="auto"/>
                <w:spacing w:val="-1"/>
                <w:kern w:val="2"/>
                <w:position w:val="1"/>
                <w:sz w:val="21"/>
                <w:szCs w:val="22"/>
                <w:highlight w:val="none"/>
              </w:rPr>
              <w:t>1）出现群众大量集中抢购、粮食脱销断档、价格大幅度上涨等粮食市场急剧波动的状况，以及超过县</w:t>
            </w:r>
            <w:r>
              <w:rPr>
                <w:rFonts w:hint="eastAsia" w:ascii="宋体" w:hAnsi="宋体" w:eastAsia="宋体" w:cs="Calibri"/>
                <w:color w:val="auto"/>
                <w:spacing w:val="-60"/>
                <w:kern w:val="2"/>
                <w:position w:val="1"/>
                <w:sz w:val="21"/>
                <w:szCs w:val="22"/>
                <w:highlight w:val="none"/>
              </w:rPr>
              <w:t xml:space="preserve"> </w:t>
            </w:r>
            <w:r>
              <w:rPr>
                <w:rFonts w:hint="eastAsia" w:ascii="宋体" w:hAnsi="宋体" w:eastAsia="宋体" w:cs="Calibri"/>
                <w:color w:val="auto"/>
                <w:spacing w:val="-1"/>
                <w:kern w:val="2"/>
                <w:position w:val="1"/>
                <w:sz w:val="21"/>
                <w:szCs w:val="22"/>
                <w:highlight w:val="none"/>
                <w:lang w:eastAsia="zh-CN"/>
              </w:rPr>
              <w:t>（</w:t>
            </w:r>
            <w:r>
              <w:rPr>
                <w:rFonts w:hint="eastAsia" w:ascii="宋体" w:hAnsi="宋体" w:eastAsia="宋体" w:cs="Calibri"/>
                <w:color w:val="auto"/>
                <w:spacing w:val="-1"/>
                <w:kern w:val="2"/>
                <w:position w:val="1"/>
                <w:sz w:val="21"/>
                <w:szCs w:val="22"/>
                <w:highlight w:val="none"/>
              </w:rPr>
              <w:t>市）级人民政府处置能力和省政府认为需要按照国</w:t>
            </w:r>
            <w:r>
              <w:rPr>
                <w:rFonts w:hint="eastAsia" w:ascii="宋体" w:hAnsi="宋体" w:eastAsia="宋体" w:cs="Calibri"/>
                <w:color w:val="auto"/>
                <w:kern w:val="2"/>
                <w:position w:val="1"/>
                <w:sz w:val="21"/>
                <w:szCs w:val="22"/>
                <w:highlight w:val="none"/>
              </w:rPr>
              <w:t>家级粮食应急状态来对待的情况；</w:t>
            </w:r>
          </w:p>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position w:val="1"/>
                <w:sz w:val="21"/>
                <w:szCs w:val="22"/>
                <w:highlight w:val="none"/>
                <w:lang w:eastAsia="zh-CN"/>
              </w:rPr>
              <w:t>（</w:t>
            </w:r>
            <w:r>
              <w:rPr>
                <w:rFonts w:hint="eastAsia" w:ascii="宋体" w:hAnsi="宋体" w:eastAsia="宋体" w:cs="Calibri"/>
                <w:color w:val="auto"/>
                <w:kern w:val="2"/>
                <w:position w:val="1"/>
                <w:sz w:val="21"/>
                <w:szCs w:val="22"/>
                <w:highlight w:val="none"/>
              </w:rPr>
              <w:t>1）在较大范围或省会等大中城市出现粮食</w:t>
            </w:r>
            <w:r>
              <w:rPr>
                <w:rFonts w:hint="eastAsia" w:ascii="宋体" w:hAnsi="宋体" w:eastAsia="宋体" w:cs="Calibri"/>
                <w:color w:val="auto"/>
                <w:spacing w:val="-60"/>
                <w:kern w:val="2"/>
                <w:position w:val="1"/>
                <w:sz w:val="21"/>
                <w:szCs w:val="22"/>
                <w:highlight w:val="none"/>
              </w:rPr>
              <w:t xml:space="preserve"> </w:t>
            </w:r>
            <w:r>
              <w:rPr>
                <w:rFonts w:hint="eastAsia" w:ascii="宋体" w:hAnsi="宋体" w:eastAsia="宋体" w:cs="Calibri"/>
                <w:color w:val="auto"/>
                <w:kern w:val="2"/>
                <w:position w:val="1"/>
                <w:sz w:val="21"/>
                <w:szCs w:val="22"/>
                <w:highlight w:val="none"/>
              </w:rPr>
              <w:t>市场急剧波动状况；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31"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605" w:type="dxa"/>
            <w:tcBorders>
              <w:tl2br w:val="nil"/>
              <w:tr2bl w:val="nil"/>
            </w:tcBorders>
            <w:noWrap w:val="0"/>
            <w:vAlign w:val="center"/>
          </w:tcPr>
          <w:p>
            <w:pPr>
              <w:pStyle w:val="4"/>
              <w:widowControl w:val="0"/>
              <w:tabs>
                <w:tab w:val="left" w:pos="1316"/>
              </w:tabs>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spacing w:val="-1"/>
                <w:kern w:val="2"/>
                <w:sz w:val="21"/>
                <w:szCs w:val="22"/>
                <w:highlight w:val="none"/>
                <w:lang w:eastAsia="zh-CN"/>
              </w:rPr>
              <w:t>（</w:t>
            </w:r>
            <w:r>
              <w:rPr>
                <w:rFonts w:hint="eastAsia" w:ascii="宋体" w:hAnsi="宋体" w:eastAsia="宋体" w:cs="Calibri"/>
                <w:color w:val="auto"/>
                <w:spacing w:val="-1"/>
                <w:kern w:val="2"/>
                <w:sz w:val="21"/>
                <w:szCs w:val="22"/>
                <w:highlight w:val="none"/>
              </w:rPr>
              <w:t>2）在相邻区域有</w:t>
            </w:r>
            <w:r>
              <w:rPr>
                <w:rFonts w:hint="eastAsia" w:ascii="宋体" w:hAnsi="宋体" w:eastAsia="宋体" w:cs="Calibri"/>
                <w:color w:val="auto"/>
                <w:spacing w:val="-46"/>
                <w:kern w:val="2"/>
                <w:sz w:val="21"/>
                <w:szCs w:val="22"/>
                <w:highlight w:val="none"/>
              </w:rPr>
              <w:t xml:space="preserve"> </w:t>
            </w:r>
            <w:r>
              <w:rPr>
                <w:rFonts w:hint="eastAsia" w:ascii="宋体" w:hAnsi="宋体" w:eastAsia="宋体" w:cs="Calibri"/>
                <w:color w:val="auto"/>
                <w:kern w:val="2"/>
                <w:sz w:val="21"/>
                <w:szCs w:val="22"/>
                <w:highlight w:val="none"/>
              </w:rPr>
              <w:t>2</w:t>
            </w:r>
            <w:r>
              <w:rPr>
                <w:rFonts w:hint="eastAsia" w:ascii="宋体" w:hAnsi="宋体" w:eastAsia="宋体" w:cs="Calibri"/>
                <w:color w:val="auto"/>
                <w:spacing w:val="-46"/>
                <w:kern w:val="2"/>
                <w:sz w:val="21"/>
                <w:szCs w:val="22"/>
                <w:highlight w:val="none"/>
              </w:rPr>
              <w:t xml:space="preserve"> </w:t>
            </w:r>
            <w:r>
              <w:rPr>
                <w:rFonts w:hint="eastAsia" w:ascii="宋体" w:hAnsi="宋体" w:eastAsia="宋体" w:cs="Calibri"/>
                <w:color w:val="auto"/>
                <w:spacing w:val="-1"/>
                <w:kern w:val="2"/>
                <w:sz w:val="21"/>
                <w:szCs w:val="22"/>
                <w:highlight w:val="none"/>
              </w:rPr>
              <w:t>个以上县</w:t>
            </w:r>
            <w:r>
              <w:rPr>
                <w:rFonts w:hint="eastAsia" w:ascii="宋体" w:hAnsi="宋体" w:eastAsia="宋体" w:cs="Calibri"/>
                <w:color w:val="auto"/>
                <w:spacing w:val="-1"/>
                <w:kern w:val="2"/>
                <w:sz w:val="21"/>
                <w:szCs w:val="22"/>
                <w:highlight w:val="none"/>
                <w:lang w:eastAsia="zh-CN"/>
              </w:rPr>
              <w:t>（</w:t>
            </w:r>
            <w:r>
              <w:rPr>
                <w:rFonts w:hint="eastAsia" w:ascii="宋体" w:hAnsi="宋体" w:eastAsia="宋体" w:cs="Calibri"/>
                <w:color w:val="auto"/>
                <w:spacing w:val="-1"/>
                <w:kern w:val="2"/>
                <w:sz w:val="21"/>
                <w:szCs w:val="22"/>
                <w:highlight w:val="none"/>
              </w:rPr>
              <w:t>市）发生重要生活</w:t>
            </w:r>
            <w:r>
              <w:rPr>
                <w:rFonts w:hint="eastAsia" w:ascii="宋体" w:hAnsi="宋体" w:eastAsia="宋体" w:cs="Calibri"/>
                <w:color w:val="auto"/>
                <w:kern w:val="2"/>
                <w:sz w:val="21"/>
                <w:szCs w:val="22"/>
                <w:highlight w:val="none"/>
              </w:rPr>
              <w:t>必需品市场异常波动，供应短缺；</w:t>
            </w:r>
          </w:p>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b/>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lang w:val="en-US" w:eastAsia="zh-CN"/>
              </w:rPr>
              <w:t>2</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在</w:t>
            </w:r>
            <w:r>
              <w:rPr>
                <w:rFonts w:hint="eastAsia" w:ascii="宋体" w:hAnsi="宋体" w:eastAsia="宋体" w:cs="Calibri"/>
                <w:color w:val="auto"/>
                <w:spacing w:val="-46"/>
                <w:kern w:val="2"/>
                <w:sz w:val="21"/>
                <w:szCs w:val="22"/>
                <w:highlight w:val="none"/>
              </w:rPr>
              <w:t xml:space="preserve"> </w:t>
            </w:r>
            <w:r>
              <w:rPr>
                <w:rFonts w:hint="eastAsia" w:ascii="宋体" w:hAnsi="宋体" w:eastAsia="宋体" w:cs="Calibri"/>
                <w:color w:val="auto"/>
                <w:kern w:val="2"/>
                <w:sz w:val="21"/>
                <w:szCs w:val="22"/>
                <w:highlight w:val="none"/>
              </w:rPr>
              <w:t>2</w:t>
            </w:r>
            <w:r>
              <w:rPr>
                <w:rFonts w:hint="eastAsia" w:ascii="宋体" w:hAnsi="宋体" w:eastAsia="宋体" w:cs="Calibri"/>
                <w:color w:val="auto"/>
                <w:spacing w:val="-46"/>
                <w:kern w:val="2"/>
                <w:sz w:val="21"/>
                <w:szCs w:val="22"/>
                <w:highlight w:val="none"/>
              </w:rPr>
              <w:t xml:space="preserve"> </w:t>
            </w:r>
            <w:r>
              <w:rPr>
                <w:rFonts w:hint="eastAsia" w:ascii="宋体" w:hAnsi="宋体" w:eastAsia="宋体" w:cs="Calibri"/>
                <w:color w:val="auto"/>
                <w:kern w:val="2"/>
                <w:sz w:val="21"/>
                <w:szCs w:val="22"/>
                <w:highlight w:val="none"/>
              </w:rPr>
              <w:t>个以上县</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市）发生重要生活必需品市场异常波动，供应短缺。</w:t>
            </w:r>
          </w:p>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826"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605" w:type="dxa"/>
            <w:tcBorders>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spacing w:val="-1"/>
                <w:kern w:val="2"/>
                <w:sz w:val="21"/>
                <w:szCs w:val="22"/>
                <w:highlight w:val="none"/>
                <w:lang w:eastAsia="zh-CN"/>
              </w:rPr>
              <w:t>（</w:t>
            </w:r>
            <w:r>
              <w:rPr>
                <w:rFonts w:hint="eastAsia" w:ascii="宋体" w:hAnsi="宋体" w:eastAsia="宋体" w:cs="Calibri"/>
                <w:color w:val="auto"/>
                <w:spacing w:val="-1"/>
                <w:kern w:val="2"/>
                <w:sz w:val="21"/>
                <w:szCs w:val="22"/>
                <w:highlight w:val="none"/>
              </w:rPr>
              <w:t>3）在数个县</w:t>
            </w:r>
            <w:r>
              <w:rPr>
                <w:rFonts w:hint="eastAsia" w:ascii="宋体" w:hAnsi="宋体" w:eastAsia="宋体" w:cs="Calibri"/>
                <w:color w:val="auto"/>
                <w:spacing w:val="-1"/>
                <w:kern w:val="2"/>
                <w:sz w:val="21"/>
                <w:szCs w:val="22"/>
                <w:highlight w:val="none"/>
                <w:lang w:eastAsia="zh-CN"/>
              </w:rPr>
              <w:t>（</w:t>
            </w:r>
            <w:r>
              <w:rPr>
                <w:rFonts w:hint="eastAsia" w:ascii="宋体" w:hAnsi="宋体" w:eastAsia="宋体" w:cs="Calibri"/>
                <w:color w:val="auto"/>
                <w:spacing w:val="-1"/>
                <w:kern w:val="2"/>
                <w:sz w:val="21"/>
                <w:szCs w:val="22"/>
                <w:highlight w:val="none"/>
              </w:rPr>
              <w:t>市）内呈多发态势的重要生活必需</w:t>
            </w:r>
            <w:r>
              <w:rPr>
                <w:rFonts w:hint="eastAsia" w:ascii="宋体" w:hAnsi="宋体" w:eastAsia="宋体" w:cs="Calibri"/>
                <w:color w:val="auto"/>
                <w:kern w:val="2"/>
                <w:sz w:val="21"/>
                <w:szCs w:val="22"/>
                <w:highlight w:val="none"/>
              </w:rPr>
              <w:t>的市场异常波动，供应短缺。</w:t>
            </w:r>
          </w:p>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69"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kern w:val="2"/>
                <w:sz w:val="21"/>
                <w:szCs w:val="22"/>
                <w:highlight w:val="none"/>
                <w:lang w:val="en-US" w:eastAsia="zh-CN"/>
              </w:rPr>
            </w:pPr>
            <w:r>
              <w:rPr>
                <w:rFonts w:hint="eastAsia" w:ascii="宋体" w:hAnsi="宋体" w:eastAsia="宋体" w:cs="Calibri"/>
                <w:b/>
                <w:color w:val="auto"/>
                <w:kern w:val="2"/>
                <w:sz w:val="21"/>
                <w:szCs w:val="22"/>
                <w:highlight w:val="none"/>
                <w:lang w:val="en-US" w:eastAsia="zh-CN"/>
              </w:rPr>
              <w:t>4</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b/>
                <w:color w:val="auto"/>
                <w:kern w:val="2"/>
                <w:sz w:val="21"/>
                <w:szCs w:val="22"/>
                <w:highlight w:val="none"/>
                <w:lang w:eastAsia="zh-CN"/>
              </w:rPr>
              <w:t>恐怖袭击事件</w:t>
            </w:r>
          </w:p>
        </w:tc>
        <w:tc>
          <w:tcPr>
            <w:tcW w:w="8550" w:type="dxa"/>
            <w:gridSpan w:val="2"/>
            <w:tcBorders>
              <w:tl2br w:val="nil"/>
              <w:tr2bl w:val="nil"/>
            </w:tcBorders>
            <w:noWrap w:val="0"/>
            <w:vAlign w:val="center"/>
          </w:tcPr>
          <w:p>
            <w:pPr>
              <w:pStyle w:val="4"/>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1）利用生物制剂、化学毒剂进行大规模袭击或攻击生产、贮存、运输生化毒物设施、工具的；</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73"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8550"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2）利用核爆炸、核辐射进行袭击或攻击核设施、核材料装运工具的；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62"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8550"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3）利用爆炸手段，袭击党政军首脑机关、警卫现场、城市标志性建筑物、公众聚集场所、国家 重要基础设施、主要军事设施、民生设施、航空器的；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04"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8550"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4）劫持航空器、轮船、火车等公共交通工具，造成严重危害后果的；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86"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8550"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5）袭击、劫持警卫对象、国内外重要知名人士及大规模袭击、劫持平民，造成重大影响和危害怖的；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86"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8550" w:type="dxa"/>
            <w:gridSpan w:val="2"/>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6）大规模攻击国家机关、军队或民用计算机信息系统，构成重大危害的。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739"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right="0"/>
              <w:jc w:val="center"/>
              <w:textAlignment w:val="auto"/>
              <w:outlineLvl w:val="9"/>
              <w:rPr>
                <w:rFonts w:hint="eastAsia" w:ascii="宋体" w:hAnsi="宋体" w:eastAsia="宋体" w:cs="Calibri"/>
                <w:b/>
                <w:color w:val="auto"/>
                <w:kern w:val="2"/>
                <w:sz w:val="24"/>
                <w:szCs w:val="22"/>
                <w:highlight w:val="none"/>
                <w:lang w:val="en-US" w:eastAsia="zh-CN"/>
              </w:rPr>
            </w:pPr>
            <w:r>
              <w:rPr>
                <w:rFonts w:hint="eastAsia" w:ascii="宋体" w:hAnsi="宋体" w:eastAsia="宋体" w:cs="Calibri"/>
                <w:b/>
                <w:color w:val="auto"/>
                <w:kern w:val="2"/>
                <w:sz w:val="24"/>
                <w:szCs w:val="22"/>
                <w:highlight w:val="none"/>
                <w:lang w:val="en-US" w:eastAsia="zh-CN"/>
              </w:rPr>
              <w:t>5</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r>
              <w:rPr>
                <w:rFonts w:hint="eastAsia" w:ascii="宋体" w:hAnsi="宋体" w:eastAsia="宋体" w:cs="Calibri"/>
                <w:b/>
                <w:color w:val="auto"/>
                <w:kern w:val="2"/>
                <w:sz w:val="24"/>
                <w:szCs w:val="22"/>
                <w:highlight w:val="none"/>
                <w:lang w:val="en-US" w:eastAsia="zh-CN"/>
              </w:rPr>
              <w:t>刑事案件</w:t>
            </w:r>
          </w:p>
        </w:tc>
        <w:tc>
          <w:tcPr>
            <w:tcW w:w="4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1）一次造成10人以上死亡的杀人、爆炸、纵火</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毒气、投放危险物质和邮寄危险物品等案件，或在公共场所造成6人以上死亡的案件，或采取绑架、劫持人质等手段，造成恶劣社会影响或可能造成严重后果的案件；</w:t>
            </w: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1）一次造成公共场所3人以上死亡，或学校内发生的造成人员伤亡、危害严重的杀人、爆炸</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纵火、毒气、绑架、劫持人质和投入危险物质案件；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598"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lang w:val="en-US" w:eastAsia="zh-CN"/>
              </w:rPr>
            </w:pPr>
          </w:p>
        </w:tc>
        <w:tc>
          <w:tcPr>
            <w:tcW w:w="4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2）抢劫金融机构或运钞车，盗窃金100万元以上的案件；</w:t>
            </w: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spacing w:val="-6"/>
                <w:kern w:val="2"/>
                <w:sz w:val="21"/>
                <w:szCs w:val="22"/>
                <w:highlight w:val="none"/>
                <w:lang w:val="en-US" w:eastAsia="zh-CN"/>
              </w:rPr>
            </w:pPr>
            <w:r>
              <w:rPr>
                <w:rFonts w:hint="eastAsia" w:ascii="宋体" w:hAnsi="宋体" w:eastAsia="宋体" w:cs="Calibri"/>
                <w:color w:val="auto"/>
                <w:spacing w:val="-6"/>
                <w:kern w:val="2"/>
                <w:sz w:val="21"/>
                <w:szCs w:val="22"/>
                <w:highlight w:val="none"/>
                <w:lang w:eastAsia="zh-CN"/>
              </w:rPr>
              <w:t>（</w:t>
            </w:r>
            <w:r>
              <w:rPr>
                <w:rFonts w:hint="eastAsia" w:ascii="宋体" w:hAnsi="宋体" w:eastAsia="宋体" w:cs="Calibri"/>
                <w:color w:val="auto"/>
                <w:spacing w:val="-6"/>
                <w:kern w:val="2"/>
                <w:sz w:val="21"/>
                <w:szCs w:val="22"/>
                <w:highlight w:val="none"/>
                <w:lang w:val="en-US" w:eastAsia="zh-CN"/>
              </w:rPr>
              <w:t>2</w:t>
            </w:r>
            <w:r>
              <w:rPr>
                <w:rFonts w:hint="eastAsia" w:ascii="宋体" w:hAnsi="宋体" w:eastAsia="宋体" w:cs="Calibri"/>
                <w:color w:val="auto"/>
                <w:spacing w:val="-6"/>
                <w:kern w:val="2"/>
                <w:sz w:val="21"/>
                <w:szCs w:val="22"/>
                <w:highlight w:val="none"/>
                <w:lang w:eastAsia="zh-CN"/>
              </w:rPr>
              <w:t>）劫持现金</w:t>
            </w:r>
            <w:r>
              <w:rPr>
                <w:rFonts w:hint="eastAsia" w:ascii="宋体" w:hAnsi="宋体" w:eastAsia="宋体" w:cs="Calibri"/>
                <w:color w:val="auto"/>
                <w:spacing w:val="-6"/>
                <w:kern w:val="2"/>
                <w:sz w:val="21"/>
                <w:szCs w:val="22"/>
                <w:highlight w:val="none"/>
                <w:lang w:val="en-US" w:eastAsia="zh-CN"/>
              </w:rPr>
              <w:t>50万元或财物价值200万元以上，盗窃现金100万元以上的或财物价值300万元以上，或抢劫金</w:t>
            </w:r>
            <w:r>
              <w:rPr>
                <w:rFonts w:hint="eastAsia" w:ascii="宋体" w:hAnsi="宋体" w:eastAsia="宋体" w:cs="Calibri"/>
                <w:color w:val="auto"/>
                <w:spacing w:val="-6"/>
                <w:kern w:val="2"/>
                <w:sz w:val="21"/>
                <w:szCs w:val="22"/>
                <w:highlight w:val="none"/>
              </w:rPr>
              <w:t>融机构</w:t>
            </w:r>
            <w:r>
              <w:rPr>
                <w:rFonts w:hint="eastAsia" w:ascii="宋体" w:hAnsi="宋体" w:eastAsia="宋体" w:cs="Calibri"/>
                <w:color w:val="auto"/>
                <w:spacing w:val="-6"/>
                <w:kern w:val="2"/>
                <w:sz w:val="21"/>
                <w:szCs w:val="22"/>
                <w:highlight w:val="none"/>
                <w:lang w:eastAsia="zh-CN"/>
              </w:rPr>
              <w:t>或运钞车，盗窃金融机构现金</w:t>
            </w:r>
            <w:r>
              <w:rPr>
                <w:rFonts w:hint="eastAsia" w:ascii="宋体" w:hAnsi="宋体" w:eastAsia="宋体" w:cs="Calibri"/>
                <w:color w:val="auto"/>
                <w:spacing w:val="-6"/>
                <w:kern w:val="2"/>
                <w:sz w:val="21"/>
                <w:szCs w:val="22"/>
                <w:highlight w:val="none"/>
                <w:lang w:val="en-US" w:eastAsia="zh-CN"/>
              </w:rPr>
              <w:t>30万以上的案件；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098"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3）发生的劫持民用运输航空器、客轮和货轮等案件；</w:t>
            </w: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3）有组织团伙性制售假劣药品、医疗器械和有毒有害食品，对人体健康和生命安全造成威胁的案件；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429"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4）抢劫、走私、盗窃军</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警）用枪械10支以上的案件；</w:t>
            </w: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4）案值数额在2000万元以上的走私、骗汇、逃汇、洗钱、金融诈骗案、增值税发票及其它票 证案，面值在200万元以上的制贩假币案件</w:t>
            </w:r>
            <w:r>
              <w:rPr>
                <w:rFonts w:hint="eastAsia" w:ascii="宋体" w:hAnsi="宋体" w:eastAsia="宋体" w:cs="Calibri"/>
                <w:color w:val="auto"/>
                <w:kern w:val="2"/>
                <w:sz w:val="21"/>
                <w:szCs w:val="22"/>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66"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lang w:val="en-US" w:eastAsia="zh-CN"/>
              </w:rPr>
              <w:t>5</w:t>
            </w:r>
            <w:r>
              <w:rPr>
                <w:rFonts w:hint="eastAsia" w:ascii="宋体" w:hAnsi="宋体" w:eastAsia="宋体" w:cs="Calibri"/>
                <w:color w:val="auto"/>
                <w:kern w:val="2"/>
                <w:sz w:val="21"/>
                <w:szCs w:val="22"/>
                <w:highlight w:val="none"/>
                <w:lang w:eastAsia="zh-CN"/>
              </w:rPr>
              <w:t>）危害性大的放射性材料或数量特大的炸药或雷管被盗、丢失案件；</w:t>
            </w: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lang w:val="en-US" w:eastAsia="zh-CN"/>
              </w:rPr>
              <w:t>5</w:t>
            </w:r>
            <w:r>
              <w:rPr>
                <w:rFonts w:hint="eastAsia" w:ascii="宋体" w:hAnsi="宋体" w:eastAsia="宋体" w:cs="Calibri"/>
                <w:color w:val="auto"/>
                <w:kern w:val="2"/>
                <w:sz w:val="21"/>
                <w:szCs w:val="22"/>
                <w:highlight w:val="none"/>
                <w:lang w:eastAsia="zh-CN"/>
              </w:rPr>
              <w:t>）因假劣种子、化肥、农药等农用生产资料造成大面积绝收、减产的坑农案件；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24"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605"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lang w:val="en-US" w:eastAsia="zh-CN"/>
              </w:rPr>
              <w:t>6</w:t>
            </w:r>
            <w:r>
              <w:rPr>
                <w:rFonts w:hint="eastAsia" w:ascii="宋体" w:hAnsi="宋体" w:eastAsia="宋体" w:cs="Calibri"/>
                <w:color w:val="auto"/>
                <w:kern w:val="2"/>
                <w:sz w:val="21"/>
                <w:szCs w:val="22"/>
                <w:highlight w:val="none"/>
                <w:lang w:eastAsia="zh-CN"/>
              </w:rPr>
              <w:t>）走私危害性大的放射性材料，走私固体废物达 100 吨以上的案件；</w:t>
            </w:r>
          </w:p>
        </w:tc>
        <w:tc>
          <w:tcPr>
            <w:tcW w:w="3945" w:type="dxa"/>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6）非法猎捕、采集国家重点保护野生动植物和破坏物种资源致使物种或种群面临灭绝危险的重大案件；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83" w:hRule="exact"/>
        </w:trPr>
        <w:tc>
          <w:tcPr>
            <w:tcW w:w="585" w:type="dxa"/>
            <w:vMerge w:val="restart"/>
            <w:tcBorders>
              <w:tl2br w:val="nil"/>
              <w:tr2bl w:val="nil"/>
            </w:tcBorders>
            <w:noWrap w:val="0"/>
            <w:textDirection w:val="tbLrV"/>
            <w:vAlign w:val="top"/>
          </w:tcPr>
          <w:p>
            <w:pPr>
              <w:pStyle w:val="12"/>
              <w:widowControl w:val="0"/>
              <w:kinsoku w:val="0"/>
              <w:wordWrap/>
              <w:overflowPunct w:val="0"/>
              <w:adjustRightInd/>
              <w:snapToGrid/>
              <w:spacing w:before="0" w:beforeAutospacing="0" w:after="0" w:afterAutospacing="0" w:line="320" w:lineRule="exact"/>
              <w:ind w:left="113" w:right="113"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kern w:val="2"/>
                <w:sz w:val="21"/>
                <w:szCs w:val="22"/>
                <w:highlight w:val="none"/>
              </w:rPr>
              <w:t>社 会 安 全 事 件</w:t>
            </w:r>
          </w:p>
        </w:tc>
        <w:tc>
          <w:tcPr>
            <w:tcW w:w="540"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6"/>
                <w:szCs w:val="22"/>
                <w:highlight w:val="none"/>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w w:val="95"/>
                <w:kern w:val="2"/>
                <w:sz w:val="24"/>
                <w:szCs w:val="22"/>
                <w:highlight w:val="none"/>
              </w:rPr>
            </w:pPr>
            <w:r>
              <w:rPr>
                <w:rFonts w:hint="eastAsia" w:ascii="宋体" w:hAnsi="宋体" w:eastAsia="宋体" w:cs="Calibri"/>
                <w:b/>
                <w:color w:val="auto"/>
                <w:w w:val="95"/>
                <w:kern w:val="2"/>
                <w:sz w:val="24"/>
                <w:szCs w:val="22"/>
                <w:highlight w:val="none"/>
              </w:rPr>
              <w:t>6</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b/>
                <w:color w:val="auto"/>
                <w:spacing w:val="11"/>
                <w:kern w:val="2"/>
                <w:sz w:val="24"/>
                <w:szCs w:val="22"/>
                <w:highlight w:val="none"/>
              </w:rPr>
              <w:t>涉外突发事件</w:t>
            </w:r>
          </w:p>
        </w:tc>
        <w:tc>
          <w:tcPr>
            <w:tcW w:w="4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rightChars="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spacing w:val="-6"/>
                <w:kern w:val="2"/>
                <w:sz w:val="21"/>
                <w:szCs w:val="22"/>
                <w:highlight w:val="none"/>
                <w:lang w:eastAsia="zh-CN"/>
              </w:rPr>
              <w:t>（</w:t>
            </w:r>
            <w:r>
              <w:rPr>
                <w:rFonts w:hint="eastAsia" w:ascii="宋体" w:hAnsi="宋体" w:eastAsia="宋体" w:cs="Calibri"/>
                <w:color w:val="auto"/>
                <w:spacing w:val="-6"/>
                <w:kern w:val="2"/>
                <w:sz w:val="21"/>
                <w:szCs w:val="22"/>
                <w:highlight w:val="none"/>
              </w:rPr>
              <w:t>7）制贩毒品</w:t>
            </w:r>
            <w:r>
              <w:rPr>
                <w:rFonts w:hint="eastAsia" w:ascii="宋体" w:hAnsi="宋体" w:eastAsia="宋体" w:cs="Calibri"/>
                <w:color w:val="auto"/>
                <w:spacing w:val="-6"/>
                <w:kern w:val="2"/>
                <w:sz w:val="21"/>
                <w:szCs w:val="22"/>
                <w:highlight w:val="none"/>
                <w:lang w:eastAsia="zh-CN"/>
              </w:rPr>
              <w:t>（</w:t>
            </w:r>
            <w:r>
              <w:rPr>
                <w:rFonts w:hint="eastAsia" w:ascii="宋体" w:hAnsi="宋体" w:eastAsia="宋体" w:cs="Calibri"/>
                <w:color w:val="auto"/>
                <w:spacing w:val="-6"/>
                <w:kern w:val="2"/>
                <w:sz w:val="21"/>
                <w:szCs w:val="22"/>
                <w:highlight w:val="none"/>
              </w:rPr>
              <w:t>海洛因、冰毒）20</w:t>
            </w:r>
            <w:r>
              <w:rPr>
                <w:rFonts w:hint="eastAsia" w:ascii="宋体" w:hAnsi="宋体" w:eastAsia="宋体" w:cs="Calibri"/>
                <w:color w:val="auto"/>
                <w:spacing w:val="-46"/>
                <w:kern w:val="2"/>
                <w:sz w:val="21"/>
                <w:szCs w:val="22"/>
                <w:highlight w:val="none"/>
              </w:rPr>
              <w:t xml:space="preserve"> </w:t>
            </w:r>
            <w:r>
              <w:rPr>
                <w:rFonts w:hint="eastAsia" w:ascii="宋体" w:hAnsi="宋体" w:eastAsia="宋体" w:cs="Calibri"/>
                <w:color w:val="auto"/>
                <w:kern w:val="2"/>
                <w:sz w:val="21"/>
                <w:szCs w:val="22"/>
                <w:highlight w:val="none"/>
              </w:rPr>
              <w:t>公斤以上案件</w:t>
            </w: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rightChars="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spacing w:val="-11"/>
                <w:kern w:val="2"/>
                <w:sz w:val="21"/>
                <w:szCs w:val="22"/>
                <w:highlight w:val="none"/>
                <w:lang w:eastAsia="zh-CN"/>
              </w:rPr>
              <w:t>（</w:t>
            </w:r>
            <w:r>
              <w:rPr>
                <w:rFonts w:hint="eastAsia" w:ascii="宋体" w:hAnsi="宋体" w:eastAsia="宋体" w:cs="Calibri"/>
                <w:color w:val="auto"/>
                <w:spacing w:val="-11"/>
                <w:kern w:val="2"/>
                <w:sz w:val="21"/>
                <w:szCs w:val="22"/>
                <w:highlight w:val="none"/>
              </w:rPr>
              <w:t>7）重大制贩毒品</w:t>
            </w:r>
            <w:r>
              <w:rPr>
                <w:rFonts w:hint="eastAsia" w:ascii="宋体" w:hAnsi="宋体" w:eastAsia="宋体" w:cs="Calibri"/>
                <w:color w:val="auto"/>
                <w:spacing w:val="-11"/>
                <w:kern w:val="2"/>
                <w:sz w:val="21"/>
                <w:szCs w:val="22"/>
                <w:highlight w:val="none"/>
                <w:lang w:eastAsia="zh-CN"/>
              </w:rPr>
              <w:t>（</w:t>
            </w:r>
            <w:r>
              <w:rPr>
                <w:rFonts w:hint="eastAsia" w:ascii="宋体" w:hAnsi="宋体" w:eastAsia="宋体" w:cs="Calibri"/>
                <w:color w:val="auto"/>
                <w:spacing w:val="-11"/>
                <w:kern w:val="2"/>
                <w:sz w:val="21"/>
                <w:szCs w:val="22"/>
                <w:highlight w:val="none"/>
              </w:rPr>
              <w:t>海洛因、冰毒）案件；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99"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rightChars="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8）盗窃、出卖、泄露及丢失国家秘密资料等可 能造成严重后果的案件；</w:t>
            </w: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rightChars="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8）涉及50人以上，或者偷渡人员较多，且有人员伤亡，在国际上造成一定影响的偷渡案件。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179"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rightChars="0" w:firstLine="0" w:firstLineChars="0"/>
              <w:jc w:val="both"/>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9）攻击和破坏计算机网络、卫星通信、广播电视传输系统等，并对社会稳定造成特大影响的信息安全案件；</w:t>
            </w: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92" w:hRule="exact"/>
        </w:trPr>
        <w:tc>
          <w:tcPr>
            <w:tcW w:w="585" w:type="dxa"/>
            <w:vMerge w:val="continue"/>
            <w:tcBorders>
              <w:tl2br w:val="nil"/>
              <w:tr2bl w:val="nil"/>
            </w:tcBorders>
            <w:noWrap w:val="0"/>
            <w:textDirection w:val="tbRl"/>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p>
        </w:tc>
        <w:tc>
          <w:tcPr>
            <w:tcW w:w="540" w:type="dxa"/>
            <w:vMerge w:val="continue"/>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color w:val="auto"/>
                <w:kern w:val="2"/>
                <w:sz w:val="21"/>
                <w:szCs w:val="22"/>
                <w:highlight w:val="none"/>
              </w:rPr>
            </w:pPr>
          </w:p>
        </w:tc>
        <w:tc>
          <w:tcPr>
            <w:tcW w:w="460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rightChars="0" w:firstLine="0" w:firstLineChars="0"/>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spacing w:val="-2"/>
                <w:kern w:val="2"/>
                <w:sz w:val="21"/>
                <w:szCs w:val="22"/>
                <w:highlight w:val="none"/>
                <w:lang w:eastAsia="zh-CN"/>
              </w:rPr>
              <w:t>（</w:t>
            </w:r>
            <w:r>
              <w:rPr>
                <w:rFonts w:hint="eastAsia" w:ascii="宋体" w:hAnsi="宋体" w:eastAsia="宋体" w:cs="Calibri"/>
                <w:color w:val="auto"/>
                <w:spacing w:val="-2"/>
                <w:kern w:val="2"/>
                <w:sz w:val="21"/>
                <w:szCs w:val="22"/>
                <w:highlight w:val="none"/>
              </w:rPr>
              <w:t>10）在我国境内发生的涉外、涉港澳台侨重大刑</w:t>
            </w:r>
            <w:r>
              <w:rPr>
                <w:rFonts w:hint="eastAsia" w:ascii="宋体" w:hAnsi="宋体" w:eastAsia="宋体" w:cs="Calibri"/>
                <w:color w:val="auto"/>
                <w:kern w:val="2"/>
                <w:sz w:val="21"/>
                <w:szCs w:val="22"/>
                <w:highlight w:val="none"/>
              </w:rPr>
              <w:t>事案件。</w:t>
            </w:r>
          </w:p>
        </w:tc>
        <w:tc>
          <w:tcPr>
            <w:tcW w:w="394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leftChars="0" w:right="0" w:rightChars="0" w:firstLine="0" w:firstLineChars="0"/>
              <w:jc w:val="center"/>
              <w:textAlignment w:val="auto"/>
              <w:outlineLvl w:val="9"/>
              <w:rPr>
                <w:rFonts w:hint="eastAsia" w:ascii="宋体" w:hAnsi="宋体" w:eastAsia="宋体" w:cs="Calibri"/>
                <w:color w:val="auto"/>
                <w:kern w:val="2"/>
                <w:sz w:val="21"/>
                <w:szCs w:val="22"/>
                <w:highlight w:val="none"/>
                <w:lang w:eastAsia="zh-CN"/>
              </w:rPr>
            </w:pPr>
            <w:r>
              <w:rPr>
                <w:rFonts w:hint="eastAsia" w:ascii="宋体" w:hAnsi="宋体" w:eastAsia="宋体" w:cs="Calibri"/>
                <w:color w:val="auto"/>
                <w:kern w:val="2"/>
                <w:sz w:val="21"/>
                <w:szCs w:val="22"/>
                <w:highlight w:val="none"/>
              </w:rPr>
              <w:t>——</w:t>
            </w:r>
          </w:p>
        </w:tc>
      </w:tr>
    </w:tbl>
    <w:tbl>
      <w:tblPr>
        <w:tblStyle w:val="10"/>
        <w:tblpPr w:leftFromText="180" w:rightFromText="180" w:vertAnchor="page" w:horzAnchor="page" w:tblpX="1263" w:tblpY="1599"/>
        <w:tblOverlap w:val="never"/>
        <w:tblW w:w="969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85"/>
        <w:gridCol w:w="540"/>
        <w:gridCol w:w="4635"/>
        <w:gridCol w:w="39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90" w:hRule="exact"/>
        </w:trPr>
        <w:tc>
          <w:tcPr>
            <w:tcW w:w="585" w:type="dxa"/>
            <w:vMerge w:val="restart"/>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kern w:val="2"/>
                <w:sz w:val="21"/>
                <w:szCs w:val="22"/>
                <w:highlight w:val="none"/>
              </w:rPr>
              <w:t>社 会 安 全 事 件</w:t>
            </w:r>
          </w:p>
        </w:tc>
        <w:tc>
          <w:tcPr>
            <w:tcW w:w="540" w:type="dxa"/>
            <w:vMerge w:val="restart"/>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仿宋_GB2312" w:hAnsi="仿宋_GB2312" w:eastAsia="仿宋_GB2312" w:cs="Calibri"/>
                <w:color w:val="auto"/>
                <w:kern w:val="2"/>
                <w:sz w:val="26"/>
                <w:szCs w:val="22"/>
                <w:highlight w:val="none"/>
              </w:rPr>
            </w:pP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eastAsia" w:ascii="宋体" w:hAnsi="宋体" w:eastAsia="宋体" w:cs="Calibri"/>
                <w:b/>
                <w:color w:val="auto"/>
                <w:w w:val="95"/>
                <w:kern w:val="2"/>
                <w:sz w:val="24"/>
                <w:szCs w:val="22"/>
                <w:highlight w:val="none"/>
              </w:rPr>
            </w:pPr>
            <w:r>
              <w:rPr>
                <w:rFonts w:hint="eastAsia" w:ascii="宋体" w:hAnsi="宋体" w:eastAsia="宋体" w:cs="Calibri"/>
                <w:b/>
                <w:color w:val="auto"/>
                <w:w w:val="95"/>
                <w:kern w:val="2"/>
                <w:sz w:val="24"/>
                <w:szCs w:val="22"/>
                <w:highlight w:val="none"/>
              </w:rPr>
              <w:t>6</w:t>
            </w:r>
          </w:p>
          <w:p>
            <w:pPr>
              <w:pStyle w:val="12"/>
              <w:widowControl w:val="0"/>
              <w:kinsoku w:val="0"/>
              <w:wordWrap/>
              <w:overflowPunct w:val="0"/>
              <w:adjustRightInd/>
              <w:snapToGrid/>
              <w:spacing w:before="0" w:beforeAutospacing="0" w:after="0" w:afterAutospacing="0" w:line="320" w:lineRule="exact"/>
              <w:ind w:left="0" w:right="0" w:firstLine="0" w:firstLineChars="0"/>
              <w:jc w:val="center"/>
              <w:textAlignment w:val="auto"/>
              <w:outlineLvl w:val="9"/>
              <w:rPr>
                <w:rFonts w:hint="default" w:ascii="Calibri" w:hAnsi="Calibri" w:cs="Calibri"/>
                <w:color w:val="auto"/>
                <w:kern w:val="2"/>
                <w:sz w:val="24"/>
                <w:szCs w:val="22"/>
                <w:highlight w:val="none"/>
              </w:rPr>
            </w:pPr>
            <w:r>
              <w:rPr>
                <w:rFonts w:hint="eastAsia" w:ascii="宋体" w:hAnsi="宋体" w:eastAsia="宋体" w:cs="Calibri"/>
                <w:b/>
                <w:color w:val="auto"/>
                <w:spacing w:val="11"/>
                <w:kern w:val="2"/>
                <w:sz w:val="24"/>
                <w:szCs w:val="22"/>
                <w:highlight w:val="none"/>
              </w:rPr>
              <w:t>涉外突发事件</w:t>
            </w:r>
          </w:p>
        </w:tc>
        <w:tc>
          <w:tcPr>
            <w:tcW w:w="46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1</w:t>
            </w:r>
            <w:r>
              <w:rPr>
                <w:rFonts w:hint="eastAsia" w:ascii="宋体" w:hAnsi="宋体" w:eastAsia="宋体" w:cs="Calibri"/>
                <w:color w:val="auto"/>
                <w:spacing w:val="-39"/>
                <w:kern w:val="2"/>
                <w:sz w:val="21"/>
                <w:szCs w:val="22"/>
                <w:highlight w:val="none"/>
              </w:rPr>
              <w:t>）</w:t>
            </w:r>
            <w:r>
              <w:rPr>
                <w:rFonts w:hint="eastAsia" w:ascii="宋体" w:hAnsi="宋体" w:eastAsia="宋体" w:cs="Calibri"/>
                <w:color w:val="auto"/>
                <w:kern w:val="2"/>
                <w:sz w:val="21"/>
                <w:szCs w:val="22"/>
                <w:highlight w:val="none"/>
              </w:rPr>
              <w:t>一次</w:t>
            </w:r>
            <w:r>
              <w:rPr>
                <w:rFonts w:hint="eastAsia" w:ascii="宋体" w:hAnsi="宋体" w:eastAsia="宋体" w:cs="Calibri"/>
                <w:color w:val="auto"/>
                <w:spacing w:val="-2"/>
                <w:kern w:val="2"/>
                <w:sz w:val="21"/>
                <w:szCs w:val="22"/>
                <w:highlight w:val="none"/>
              </w:rPr>
              <w:t>造</w:t>
            </w:r>
            <w:r>
              <w:rPr>
                <w:rFonts w:hint="eastAsia" w:ascii="宋体" w:hAnsi="宋体" w:eastAsia="宋体" w:cs="Calibri"/>
                <w:color w:val="auto"/>
                <w:kern w:val="2"/>
                <w:sz w:val="21"/>
                <w:szCs w:val="22"/>
                <w:highlight w:val="none"/>
              </w:rPr>
              <w:t>成30人以上</w:t>
            </w:r>
            <w:r>
              <w:rPr>
                <w:rFonts w:hint="eastAsia" w:ascii="宋体" w:hAnsi="宋体" w:eastAsia="宋体" w:cs="Calibri"/>
                <w:color w:val="auto"/>
                <w:spacing w:val="1"/>
                <w:kern w:val="2"/>
                <w:sz w:val="21"/>
                <w:szCs w:val="22"/>
                <w:highlight w:val="none"/>
              </w:rPr>
              <w:t>死</w:t>
            </w:r>
            <w:r>
              <w:rPr>
                <w:rFonts w:hint="eastAsia" w:ascii="宋体" w:hAnsi="宋体" w:eastAsia="宋体" w:cs="Calibri"/>
                <w:color w:val="auto"/>
                <w:kern w:val="2"/>
                <w:sz w:val="21"/>
                <w:szCs w:val="22"/>
                <w:highlight w:val="none"/>
              </w:rPr>
              <w:t>亡或100人</w:t>
            </w:r>
            <w:r>
              <w:rPr>
                <w:rFonts w:hint="eastAsia" w:ascii="宋体" w:hAnsi="宋体" w:eastAsia="宋体" w:cs="Calibri"/>
                <w:color w:val="auto"/>
                <w:spacing w:val="1"/>
                <w:kern w:val="2"/>
                <w:sz w:val="21"/>
                <w:szCs w:val="22"/>
                <w:highlight w:val="none"/>
              </w:rPr>
              <w:t>以</w:t>
            </w:r>
            <w:r>
              <w:rPr>
                <w:rFonts w:hint="eastAsia" w:ascii="宋体" w:hAnsi="宋体" w:eastAsia="宋体" w:cs="Calibri"/>
                <w:color w:val="auto"/>
                <w:kern w:val="2"/>
                <w:sz w:val="21"/>
                <w:szCs w:val="22"/>
                <w:highlight w:val="none"/>
              </w:rPr>
              <w:t>上伤亡的境外涉我</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省</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及境内涉外事件；</w:t>
            </w:r>
          </w:p>
        </w:tc>
        <w:tc>
          <w:tcPr>
            <w:tcW w:w="39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1）一次事件造成10-30人死亡，或</w:t>
            </w:r>
            <w:r>
              <w:rPr>
                <w:rFonts w:hint="eastAsia" w:ascii="宋体" w:hAnsi="宋体" w:eastAsia="宋体" w:cs="Calibri"/>
                <w:color w:val="auto"/>
                <w:spacing w:val="-46"/>
                <w:kern w:val="2"/>
                <w:sz w:val="21"/>
                <w:szCs w:val="22"/>
                <w:highlight w:val="none"/>
              </w:rPr>
              <w:t xml:space="preserve"> </w:t>
            </w:r>
            <w:r>
              <w:rPr>
                <w:rFonts w:hint="eastAsia" w:ascii="宋体" w:hAnsi="宋体" w:eastAsia="宋体" w:cs="Calibri"/>
                <w:color w:val="auto"/>
                <w:kern w:val="2"/>
                <w:sz w:val="21"/>
                <w:szCs w:val="22"/>
                <w:highlight w:val="none"/>
              </w:rPr>
              <w:t>50-100人伤亡的境外涉我</w:t>
            </w: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省）及境内涉外事件；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653" w:hRule="exact"/>
        </w:trPr>
        <w:tc>
          <w:tcPr>
            <w:tcW w:w="585" w:type="dxa"/>
            <w:vMerge w:val="continue"/>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p>
        </w:tc>
        <w:tc>
          <w:tcPr>
            <w:tcW w:w="540" w:type="dxa"/>
            <w:vMerge w:val="continue"/>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default" w:ascii="Calibri" w:hAnsi="Calibri" w:cs="Calibri"/>
                <w:color w:val="auto"/>
                <w:kern w:val="2"/>
                <w:sz w:val="24"/>
                <w:szCs w:val="22"/>
                <w:highlight w:val="none"/>
              </w:rPr>
            </w:pPr>
          </w:p>
        </w:tc>
        <w:tc>
          <w:tcPr>
            <w:tcW w:w="46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2）造成我境外国家利益、机构和人员安全及重大财产损失，造成境内外国驻华外交机构、其他机构和人员安全及重大财产损失，并具有重大政治和社会影响的涉外事件；</w:t>
            </w:r>
          </w:p>
        </w:tc>
        <w:tc>
          <w:tcPr>
            <w:tcW w:w="39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2</w:t>
            </w:r>
            <w:r>
              <w:rPr>
                <w:rFonts w:hint="eastAsia" w:ascii="宋体" w:hAnsi="宋体" w:eastAsia="宋体" w:cs="Calibri"/>
                <w:color w:val="auto"/>
                <w:spacing w:val="-45"/>
                <w:kern w:val="2"/>
                <w:sz w:val="21"/>
                <w:szCs w:val="22"/>
                <w:highlight w:val="none"/>
              </w:rPr>
              <w:t>）</w:t>
            </w:r>
            <w:r>
              <w:rPr>
                <w:rFonts w:hint="eastAsia" w:ascii="宋体" w:hAnsi="宋体" w:eastAsia="宋体" w:cs="Calibri"/>
                <w:color w:val="auto"/>
                <w:kern w:val="2"/>
                <w:sz w:val="21"/>
                <w:szCs w:val="22"/>
                <w:highlight w:val="none"/>
              </w:rPr>
              <w:t>造成或可能造成我境外国家利益</w:t>
            </w:r>
            <w:r>
              <w:rPr>
                <w:rFonts w:hint="eastAsia" w:ascii="宋体" w:hAnsi="宋体" w:eastAsia="宋体" w:cs="Calibri"/>
                <w:color w:val="auto"/>
                <w:spacing w:val="-45"/>
                <w:kern w:val="2"/>
                <w:sz w:val="21"/>
                <w:szCs w:val="22"/>
                <w:highlight w:val="none"/>
              </w:rPr>
              <w:t>、</w:t>
            </w:r>
            <w:r>
              <w:rPr>
                <w:rFonts w:hint="eastAsia" w:ascii="宋体" w:hAnsi="宋体" w:eastAsia="宋体" w:cs="Calibri"/>
                <w:color w:val="auto"/>
                <w:kern w:val="2"/>
                <w:sz w:val="21"/>
                <w:szCs w:val="22"/>
                <w:highlight w:val="none"/>
              </w:rPr>
              <w:t>机构和人员安全及较大财产损失</w:t>
            </w:r>
            <w:r>
              <w:rPr>
                <w:rFonts w:hint="eastAsia" w:ascii="宋体" w:hAnsi="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造成或可能造成外国驻华外交机构</w:t>
            </w:r>
            <w:r>
              <w:rPr>
                <w:rFonts w:hint="eastAsia" w:ascii="宋体" w:hAnsi="宋体" w:eastAsia="宋体" w:cs="Calibri"/>
                <w:color w:val="auto"/>
                <w:spacing w:val="-88"/>
                <w:kern w:val="2"/>
                <w:sz w:val="21"/>
                <w:szCs w:val="22"/>
                <w:highlight w:val="none"/>
              </w:rPr>
              <w:t>、</w:t>
            </w:r>
            <w:r>
              <w:rPr>
                <w:rFonts w:hint="eastAsia" w:ascii="宋体" w:hAnsi="宋体" w:eastAsia="宋体" w:cs="Calibri"/>
                <w:color w:val="auto"/>
                <w:kern w:val="2"/>
                <w:sz w:val="21"/>
                <w:szCs w:val="22"/>
                <w:highlight w:val="none"/>
              </w:rPr>
              <w:t>其他机构和人员安全及财产较大损失，并具有较大政治和社会影响的涉外事件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193" w:hRule="exact"/>
        </w:trPr>
        <w:tc>
          <w:tcPr>
            <w:tcW w:w="585" w:type="dxa"/>
            <w:vMerge w:val="continue"/>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2"/>
                <w:highlight w:val="none"/>
              </w:rPr>
            </w:pPr>
          </w:p>
        </w:tc>
        <w:tc>
          <w:tcPr>
            <w:tcW w:w="540" w:type="dxa"/>
            <w:vMerge w:val="continue"/>
            <w:tcBorders>
              <w:tl2br w:val="nil"/>
              <w:tr2bl w:val="nil"/>
            </w:tcBorders>
            <w:noWrap w:val="0"/>
            <w:vAlign w:val="top"/>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default" w:ascii="Calibri" w:hAnsi="Calibri" w:cs="Calibri"/>
                <w:color w:val="auto"/>
                <w:kern w:val="2"/>
                <w:sz w:val="24"/>
                <w:szCs w:val="22"/>
                <w:highlight w:val="none"/>
              </w:rPr>
            </w:pPr>
          </w:p>
        </w:tc>
        <w:tc>
          <w:tcPr>
            <w:tcW w:w="4635"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3）有关国家、地区发生特别重大突发事件，需要迅速撤离我驻外机构和人员、撤侨的涉外事件。</w:t>
            </w:r>
          </w:p>
        </w:tc>
        <w:tc>
          <w:tcPr>
            <w:tcW w:w="3930" w:type="dxa"/>
            <w:tcBorders>
              <w:tl2br w:val="nil"/>
              <w:tr2bl w:val="nil"/>
            </w:tcBorders>
            <w:noWrap w:val="0"/>
            <w:vAlign w:val="center"/>
          </w:tcPr>
          <w:p>
            <w:pPr>
              <w:pStyle w:val="12"/>
              <w:widowControl w:val="0"/>
              <w:kinsoku w:val="0"/>
              <w:wordWrap/>
              <w:overflowPunct w:val="0"/>
              <w:adjustRightInd/>
              <w:snapToGrid/>
              <w:spacing w:before="0" w:beforeAutospacing="0" w:after="0" w:afterAutospacing="0" w:line="320" w:lineRule="exact"/>
              <w:ind w:left="0" w:right="0" w:firstLine="0" w:firstLineChars="0"/>
              <w:jc w:val="both"/>
              <w:textAlignment w:val="auto"/>
              <w:outlineLvl w:val="9"/>
              <w:rPr>
                <w:rFonts w:hint="eastAsia" w:ascii="宋体" w:hAnsi="宋体" w:eastAsia="宋体" w:cs="Calibri"/>
                <w:color w:val="auto"/>
                <w:kern w:val="2"/>
                <w:sz w:val="21"/>
                <w:szCs w:val="22"/>
                <w:highlight w:val="none"/>
              </w:rPr>
            </w:pPr>
            <w:r>
              <w:rPr>
                <w:rFonts w:hint="eastAsia" w:ascii="宋体" w:hAnsi="宋体" w:eastAsia="宋体" w:cs="Calibri"/>
                <w:color w:val="auto"/>
                <w:kern w:val="2"/>
                <w:sz w:val="21"/>
                <w:szCs w:val="22"/>
                <w:highlight w:val="none"/>
                <w:lang w:eastAsia="zh-CN"/>
              </w:rPr>
              <w:t>（</w:t>
            </w:r>
            <w:r>
              <w:rPr>
                <w:rFonts w:hint="eastAsia" w:ascii="宋体" w:hAnsi="宋体" w:eastAsia="宋体" w:cs="Calibri"/>
                <w:color w:val="auto"/>
                <w:kern w:val="2"/>
                <w:sz w:val="21"/>
                <w:szCs w:val="22"/>
                <w:highlight w:val="none"/>
              </w:rPr>
              <w:t>3）有关国家、地区发生重大突发事件，需要尽快撤离我驻外部分机构和人员</w:t>
            </w:r>
            <w:r>
              <w:rPr>
                <w:rFonts w:hint="eastAsia" w:ascii="宋体" w:hAnsi="宋体" w:eastAsia="宋体" w:cs="Calibri"/>
                <w:color w:val="auto"/>
                <w:spacing w:val="-88"/>
                <w:kern w:val="2"/>
                <w:sz w:val="21"/>
                <w:szCs w:val="22"/>
                <w:highlight w:val="none"/>
              </w:rPr>
              <w:t>、</w:t>
            </w:r>
            <w:r>
              <w:rPr>
                <w:rFonts w:hint="eastAsia" w:ascii="宋体" w:hAnsi="宋体" w:eastAsia="宋体" w:cs="Calibri"/>
                <w:color w:val="auto"/>
                <w:kern w:val="2"/>
                <w:sz w:val="21"/>
                <w:szCs w:val="22"/>
                <w:highlight w:val="none"/>
              </w:rPr>
              <w:t>部分撤侨的涉外事件。</w:t>
            </w:r>
          </w:p>
        </w:tc>
      </w:tr>
    </w:tbl>
    <w:p>
      <w:pPr>
        <w:pStyle w:val="4"/>
        <w:widowControl w:val="0"/>
        <w:kinsoku w:val="0"/>
        <w:wordWrap/>
        <w:overflowPunct w:val="0"/>
        <w:adjustRightInd/>
        <w:snapToGrid/>
        <w:spacing w:before="0" w:line="560" w:lineRule="exact"/>
        <w:ind w:left="0" w:leftChars="0" w:firstLine="0" w:firstLineChars="0"/>
        <w:textAlignment w:val="auto"/>
        <w:outlineLvl w:val="9"/>
        <w:rPr>
          <w:rFonts w:hint="eastAsia" w:ascii="宋体" w:hAnsi="宋体" w:eastAsia="宋体"/>
          <w:color w:val="auto"/>
          <w:sz w:val="24"/>
          <w:highlight w:val="none"/>
          <w:lang w:eastAsia="zh-CN"/>
        </w:rPr>
      </w:pPr>
      <w:r>
        <w:rPr>
          <w:rFonts w:hint="eastAsia" w:ascii="宋体" w:hAnsi="宋体" w:eastAsia="宋体"/>
          <w:color w:val="auto"/>
          <w:sz w:val="24"/>
          <w:highlight w:val="none"/>
        </w:rPr>
        <w:t>〔注：依据《国家突发公共事件总体应急预案》</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国发</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20</w:t>
      </w:r>
      <w:r>
        <w:rPr>
          <w:rFonts w:hint="eastAsia" w:ascii="宋体" w:hAnsi="宋体" w:eastAsia="宋体"/>
          <w:color w:val="auto"/>
          <w:sz w:val="24"/>
          <w:highlight w:val="none"/>
          <w:lang w:val="en-US" w:eastAsia="zh-CN"/>
        </w:rPr>
        <w:t>0</w:t>
      </w:r>
      <w:r>
        <w:rPr>
          <w:rFonts w:hint="eastAsia" w:ascii="宋体" w:hAnsi="宋体" w:eastAsia="宋体"/>
          <w:color w:val="auto"/>
          <w:sz w:val="24"/>
          <w:highlight w:val="none"/>
        </w:rPr>
        <w:t>5</w:t>
      </w:r>
      <w:r>
        <w:rPr>
          <w:rFonts w:hint="eastAsia" w:ascii="仿宋_GB2312" w:hAnsi="仿宋_GB2312" w:eastAsia="仿宋_GB2312" w:cs="仿宋_GB2312"/>
          <w:color w:val="auto"/>
          <w:sz w:val="24"/>
          <w:highlight w:val="none"/>
        </w:rPr>
        <w:t>〕</w:t>
      </w:r>
      <w:r>
        <w:rPr>
          <w:rFonts w:hint="eastAsia" w:ascii="宋体" w:hAnsi="宋体" w:eastAsia="宋体"/>
          <w:color w:val="auto"/>
          <w:sz w:val="24"/>
          <w:highlight w:val="none"/>
        </w:rPr>
        <w:t>11</w:t>
      </w:r>
      <w:r>
        <w:rPr>
          <w:rFonts w:hint="eastAsia" w:ascii="宋体" w:hAnsi="宋体" w:eastAsia="宋体"/>
          <w:color w:val="auto"/>
          <w:spacing w:val="-60"/>
          <w:sz w:val="24"/>
          <w:highlight w:val="none"/>
        </w:rPr>
        <w:t xml:space="preserve"> </w:t>
      </w:r>
      <w:r>
        <w:rPr>
          <w:rFonts w:hint="eastAsia" w:ascii="宋体" w:hAnsi="宋体" w:eastAsia="宋体"/>
          <w:color w:val="auto"/>
          <w:sz w:val="24"/>
          <w:highlight w:val="none"/>
        </w:rPr>
        <w:t>号）制表。</w:t>
      </w:r>
      <w:r>
        <w:rPr>
          <w:rFonts w:hint="eastAsia" w:ascii="宋体" w:hAnsi="宋体" w:eastAsia="宋体"/>
          <w:color w:val="auto"/>
          <w:sz w:val="24"/>
          <w:highlight w:val="none"/>
          <w:lang w:eastAsia="zh-CN"/>
        </w:rPr>
        <w:t>）</w:t>
      </w:r>
    </w:p>
    <w:p>
      <w:pPr>
        <w:bidi w:val="0"/>
        <w:ind w:firstLine="640" w:firstLineChars="200"/>
        <w:rPr>
          <w:rFonts w:hint="eastAsia" w:ascii="黑体" w:hAnsi="黑体" w:eastAsia="黑体" w:cs="黑体"/>
          <w:sz w:val="32"/>
          <w:szCs w:val="32"/>
          <w:highlight w:val="none"/>
          <w:lang w:val="en-US" w:eastAsia="zh-CN"/>
        </w:rPr>
      </w:pPr>
      <w:bookmarkStart w:id="1090" w:name="_Toc29622"/>
      <w:bookmarkStart w:id="1091" w:name="_Toc28167"/>
      <w:r>
        <w:rPr>
          <w:rFonts w:hint="eastAsia" w:ascii="黑体" w:hAnsi="黑体" w:eastAsia="黑体" w:cs="黑体"/>
          <w:sz w:val="32"/>
          <w:szCs w:val="32"/>
          <w:highlight w:val="none"/>
          <w:lang w:val="en-US" w:eastAsia="zh-CN"/>
        </w:rPr>
        <w:t>9.11五指山市易发生交通灾害路段</w:t>
      </w:r>
      <w:bookmarkEnd w:id="1090"/>
      <w:bookmarkEnd w:id="1091"/>
    </w:p>
    <w:tbl>
      <w:tblPr>
        <w:tblStyle w:val="10"/>
        <w:tblW w:w="9400"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62"/>
        <w:gridCol w:w="725"/>
        <w:gridCol w:w="1192"/>
        <w:gridCol w:w="3348"/>
        <w:gridCol w:w="2130"/>
        <w:gridCol w:w="14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642" w:hRule="atLeast"/>
          <w:jc w:val="center"/>
        </w:trPr>
        <w:tc>
          <w:tcPr>
            <w:tcW w:w="56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72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道班名称</w:t>
            </w:r>
          </w:p>
        </w:tc>
        <w:tc>
          <w:tcPr>
            <w:tcW w:w="119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路段范围</w:t>
            </w:r>
          </w:p>
        </w:tc>
        <w:tc>
          <w:tcPr>
            <w:tcW w:w="334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易发生灾害（事故）具体位置</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发生灾害名称</w:t>
            </w:r>
          </w:p>
        </w:tc>
        <w:tc>
          <w:tcPr>
            <w:tcW w:w="144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72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牙排</w:t>
            </w:r>
          </w:p>
        </w:tc>
        <w:tc>
          <w:tcPr>
            <w:tcW w:w="119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中五线K12+000-K22+000管养路段</w:t>
            </w: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12</w:t>
            </w:r>
            <w:r>
              <w:rPr>
                <w:rFonts w:hint="eastAsia" w:ascii="宋体" w:hAnsi="宋体" w:eastAsia="宋体" w:cs="宋体"/>
                <w:i w:val="0"/>
                <w:iCs w:val="0"/>
                <w:color w:val="auto"/>
                <w:kern w:val="0"/>
                <w:sz w:val="22"/>
                <w:szCs w:val="22"/>
                <w:highlight w:val="none"/>
                <w:u w:val="none"/>
                <w:lang w:val="en-US" w:eastAsia="zh-CN" w:bidi="ar"/>
              </w:rPr>
              <w:t>+500、K</w:t>
            </w:r>
            <w:r>
              <w:rPr>
                <w:rFonts w:hint="eastAsia" w:ascii="宋体" w:hAnsi="宋体" w:eastAsia="宋体" w:cs="宋体"/>
                <w:i w:val="0"/>
                <w:iCs w:val="0"/>
                <w:color w:val="auto"/>
                <w:kern w:val="0"/>
                <w:sz w:val="22"/>
                <w:szCs w:val="22"/>
                <w:highlight w:val="none"/>
                <w:u w:val="none"/>
                <w:vertAlign w:val="subscript"/>
                <w:lang w:val="en-US" w:eastAsia="zh-CN" w:bidi="ar"/>
              </w:rPr>
              <w:t>15</w:t>
            </w:r>
            <w:r>
              <w:rPr>
                <w:rFonts w:hint="eastAsia" w:ascii="宋体" w:hAnsi="宋体" w:eastAsia="宋体" w:cs="宋体"/>
                <w:i w:val="0"/>
                <w:iCs w:val="0"/>
                <w:color w:val="auto"/>
                <w:kern w:val="0"/>
                <w:sz w:val="22"/>
                <w:szCs w:val="22"/>
                <w:highlight w:val="none"/>
                <w:u w:val="none"/>
                <w:lang w:val="en-US" w:eastAsia="zh-CN" w:bidi="ar"/>
              </w:rPr>
              <w:t>+500、K</w:t>
            </w:r>
            <w:r>
              <w:rPr>
                <w:rFonts w:hint="eastAsia" w:ascii="宋体" w:hAnsi="宋体" w:eastAsia="宋体" w:cs="宋体"/>
                <w:i w:val="0"/>
                <w:iCs w:val="0"/>
                <w:color w:val="auto"/>
                <w:kern w:val="0"/>
                <w:sz w:val="22"/>
                <w:szCs w:val="22"/>
                <w:highlight w:val="none"/>
                <w:u w:val="none"/>
                <w:vertAlign w:val="subscript"/>
                <w:lang w:val="en-US" w:eastAsia="zh-CN" w:bidi="ar"/>
              </w:rPr>
              <w:t>18</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18</w:t>
            </w:r>
            <w:r>
              <w:rPr>
                <w:rFonts w:hint="eastAsia" w:ascii="宋体" w:hAnsi="宋体" w:eastAsia="宋体" w:cs="宋体"/>
                <w:i w:val="0"/>
                <w:iCs w:val="0"/>
                <w:color w:val="auto"/>
                <w:kern w:val="0"/>
                <w:sz w:val="22"/>
                <w:szCs w:val="22"/>
                <w:highlight w:val="none"/>
                <w:u w:val="none"/>
                <w:lang w:val="en-US" w:eastAsia="zh-CN" w:bidi="ar"/>
              </w:rPr>
              <w:t>+800</w:t>
            </w:r>
            <w:r>
              <w:rPr>
                <w:rFonts w:hint="eastAsia" w:ascii="宋体" w:hAnsi="宋体" w:eastAsia="宋体" w:cs="宋体"/>
                <w:i w:val="0"/>
                <w:iCs w:val="0"/>
                <w:color w:val="auto"/>
                <w:kern w:val="0"/>
                <w:sz w:val="22"/>
                <w:szCs w:val="22"/>
                <w:highlight w:val="none"/>
                <w:u w:val="none"/>
                <w:vertAlign w:val="subscript"/>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21</w:t>
            </w:r>
            <w:r>
              <w:rPr>
                <w:rFonts w:hint="eastAsia" w:ascii="宋体" w:hAnsi="宋体" w:eastAsia="宋体" w:cs="宋体"/>
                <w:i w:val="0"/>
                <w:iCs w:val="0"/>
                <w:color w:val="auto"/>
                <w:kern w:val="0"/>
                <w:sz w:val="22"/>
                <w:szCs w:val="22"/>
                <w:highlight w:val="none"/>
                <w:u w:val="none"/>
                <w:lang w:val="en-US" w:eastAsia="zh-CN" w:bidi="ar"/>
              </w:rPr>
              <w:t>+300处；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急转弯</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34"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+000</w:t>
            </w:r>
            <w:r>
              <w:rPr>
                <w:rFonts w:hint="eastAsia" w:ascii="宋体" w:hAnsi="宋体" w:eastAsia="宋体" w:cs="宋体"/>
                <w:i w:val="0"/>
                <w:iCs w:val="0"/>
                <w:color w:val="auto"/>
                <w:kern w:val="0"/>
                <w:sz w:val="22"/>
                <w:szCs w:val="22"/>
                <w:highlight w:val="none"/>
                <w:u w:val="none"/>
                <w:vertAlign w:val="subscript"/>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+800、K</w:t>
            </w:r>
            <w:r>
              <w:rPr>
                <w:rFonts w:hint="eastAsia" w:ascii="宋体" w:hAnsi="宋体" w:eastAsia="宋体" w:cs="宋体"/>
                <w:i w:val="0"/>
                <w:iCs w:val="0"/>
                <w:color w:val="auto"/>
                <w:kern w:val="0"/>
                <w:sz w:val="22"/>
                <w:szCs w:val="22"/>
                <w:highlight w:val="none"/>
                <w:u w:val="none"/>
                <w:vertAlign w:val="subscript"/>
                <w:lang w:val="en-US" w:eastAsia="zh-CN" w:bidi="ar"/>
              </w:rPr>
              <w:t>16</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17</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19</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20</w:t>
            </w:r>
            <w:r>
              <w:rPr>
                <w:rFonts w:hint="eastAsia" w:ascii="宋体" w:hAnsi="宋体" w:eastAsia="宋体" w:cs="宋体"/>
                <w:i w:val="0"/>
                <w:iCs w:val="0"/>
                <w:color w:val="auto"/>
                <w:kern w:val="0"/>
                <w:sz w:val="22"/>
                <w:szCs w:val="22"/>
                <w:highlight w:val="none"/>
                <w:u w:val="none"/>
                <w:lang w:val="en-US" w:eastAsia="zh-CN" w:bidi="ar"/>
              </w:rPr>
              <w:t>+000处；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上长坡</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34"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+800-K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+800、K</w:t>
            </w:r>
            <w:r>
              <w:rPr>
                <w:rFonts w:hint="eastAsia" w:ascii="宋体" w:hAnsi="宋体" w:eastAsia="宋体" w:cs="宋体"/>
                <w:i w:val="0"/>
                <w:iCs w:val="0"/>
                <w:color w:val="auto"/>
                <w:kern w:val="0"/>
                <w:sz w:val="22"/>
                <w:szCs w:val="22"/>
                <w:highlight w:val="none"/>
                <w:u w:val="none"/>
                <w:vertAlign w:val="subscript"/>
                <w:lang w:val="en-US" w:eastAsia="zh-CN" w:bidi="ar"/>
              </w:rPr>
              <w:t>16</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17</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19</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20</w:t>
            </w:r>
            <w:r>
              <w:rPr>
                <w:rFonts w:hint="eastAsia" w:ascii="宋体" w:hAnsi="宋体" w:eastAsia="宋体" w:cs="宋体"/>
                <w:i w:val="0"/>
                <w:iCs w:val="0"/>
                <w:color w:val="auto"/>
                <w:kern w:val="0"/>
                <w:sz w:val="22"/>
                <w:szCs w:val="22"/>
                <w:highlight w:val="none"/>
                <w:u w:val="none"/>
                <w:lang w:val="en-US" w:eastAsia="zh-CN" w:bidi="ar"/>
              </w:rPr>
              <w:t>+000处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下长坡</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12</w:t>
            </w:r>
            <w:r>
              <w:rPr>
                <w:rFonts w:hint="eastAsia" w:ascii="宋体" w:hAnsi="宋体" w:eastAsia="宋体" w:cs="宋体"/>
                <w:i w:val="0"/>
                <w:iCs w:val="0"/>
                <w:color w:val="auto"/>
                <w:kern w:val="0"/>
                <w:sz w:val="22"/>
                <w:szCs w:val="22"/>
                <w:highlight w:val="none"/>
                <w:u w:val="none"/>
                <w:lang w:val="en-US" w:eastAsia="zh-CN" w:bidi="ar"/>
              </w:rPr>
              <w:t>+300、K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+800、K</w:t>
            </w:r>
            <w:r>
              <w:rPr>
                <w:rFonts w:hint="eastAsia" w:ascii="宋体" w:hAnsi="宋体" w:eastAsia="宋体" w:cs="宋体"/>
                <w:i w:val="0"/>
                <w:iCs w:val="0"/>
                <w:color w:val="auto"/>
                <w:kern w:val="0"/>
                <w:sz w:val="22"/>
                <w:szCs w:val="22"/>
                <w:highlight w:val="none"/>
                <w:u w:val="none"/>
                <w:vertAlign w:val="subscript"/>
                <w:lang w:val="en-US" w:eastAsia="zh-CN" w:bidi="ar"/>
              </w:rPr>
              <w:t>16</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16</w:t>
            </w:r>
            <w:r>
              <w:rPr>
                <w:rFonts w:hint="eastAsia" w:ascii="宋体" w:hAnsi="宋体" w:eastAsia="宋体" w:cs="宋体"/>
                <w:i w:val="0"/>
                <w:iCs w:val="0"/>
                <w:color w:val="auto"/>
                <w:kern w:val="0"/>
                <w:sz w:val="22"/>
                <w:szCs w:val="22"/>
                <w:highlight w:val="none"/>
                <w:u w:val="none"/>
                <w:lang w:val="en-US" w:eastAsia="zh-CN" w:bidi="ar"/>
              </w:rPr>
              <w:t>+700、K</w:t>
            </w:r>
            <w:r>
              <w:rPr>
                <w:rFonts w:hint="eastAsia" w:ascii="宋体" w:hAnsi="宋体" w:eastAsia="宋体" w:cs="宋体"/>
                <w:i w:val="0"/>
                <w:iCs w:val="0"/>
                <w:color w:val="auto"/>
                <w:kern w:val="0"/>
                <w:sz w:val="22"/>
                <w:szCs w:val="22"/>
                <w:highlight w:val="none"/>
                <w:u w:val="none"/>
                <w:vertAlign w:val="subscript"/>
                <w:lang w:val="en-US" w:eastAsia="zh-CN" w:bidi="ar"/>
              </w:rPr>
              <w:t>19</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20</w:t>
            </w:r>
            <w:r>
              <w:rPr>
                <w:rFonts w:hint="eastAsia" w:ascii="宋体" w:hAnsi="宋体" w:eastAsia="宋体" w:cs="宋体"/>
                <w:i w:val="0"/>
                <w:iCs w:val="0"/>
                <w:color w:val="auto"/>
                <w:kern w:val="0"/>
                <w:sz w:val="22"/>
                <w:szCs w:val="22"/>
                <w:highlight w:val="none"/>
                <w:u w:val="none"/>
                <w:lang w:val="en-US" w:eastAsia="zh-CN" w:bidi="ar"/>
              </w:rPr>
              <w:t>+800处。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易塌方路段</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34" w:hRule="atLeast"/>
          <w:jc w:val="center"/>
        </w:trPr>
        <w:tc>
          <w:tcPr>
            <w:tcW w:w="56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2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毛丹</w:t>
            </w:r>
          </w:p>
        </w:tc>
        <w:tc>
          <w:tcPr>
            <w:tcW w:w="119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中五线K0+000-K12+000管养路段</w:t>
            </w: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0</w:t>
            </w:r>
            <w:r>
              <w:rPr>
                <w:rFonts w:hint="eastAsia" w:ascii="宋体" w:hAnsi="宋体" w:eastAsia="宋体" w:cs="宋体"/>
                <w:i w:val="0"/>
                <w:iCs w:val="0"/>
                <w:color w:val="auto"/>
                <w:kern w:val="0"/>
                <w:sz w:val="22"/>
                <w:szCs w:val="22"/>
                <w:highlight w:val="none"/>
                <w:u w:val="none"/>
                <w:lang w:val="en-US" w:eastAsia="zh-CN" w:bidi="ar"/>
              </w:rPr>
              <w:t>+100、K</w:t>
            </w:r>
            <w:r>
              <w:rPr>
                <w:rFonts w:hint="eastAsia" w:ascii="宋体" w:hAnsi="宋体" w:eastAsia="宋体" w:cs="宋体"/>
                <w:i w:val="0"/>
                <w:iCs w:val="0"/>
                <w:color w:val="auto"/>
                <w:kern w:val="0"/>
                <w:sz w:val="22"/>
                <w:szCs w:val="22"/>
                <w:highlight w:val="none"/>
                <w:u w:val="none"/>
                <w:vertAlign w:val="subscript"/>
                <w:lang w:val="en-US" w:eastAsia="zh-CN" w:bidi="ar"/>
              </w:rPr>
              <w:t>0</w:t>
            </w:r>
            <w:r>
              <w:rPr>
                <w:rFonts w:hint="eastAsia" w:ascii="宋体" w:hAnsi="宋体" w:eastAsia="宋体" w:cs="宋体"/>
                <w:i w:val="0"/>
                <w:iCs w:val="0"/>
                <w:color w:val="auto"/>
                <w:kern w:val="0"/>
                <w:sz w:val="22"/>
                <w:szCs w:val="22"/>
                <w:highlight w:val="none"/>
                <w:u w:val="none"/>
                <w:lang w:val="en-US" w:eastAsia="zh-CN" w:bidi="ar"/>
              </w:rPr>
              <w:t>+600、K</w:t>
            </w:r>
            <w:r>
              <w:rPr>
                <w:rFonts w:hint="eastAsia" w:ascii="宋体" w:hAnsi="宋体" w:eastAsia="宋体" w:cs="宋体"/>
                <w:i w:val="0"/>
                <w:iCs w:val="0"/>
                <w:color w:val="auto"/>
                <w:kern w:val="0"/>
                <w:sz w:val="22"/>
                <w:szCs w:val="22"/>
                <w:highlight w:val="none"/>
                <w:u w:val="none"/>
                <w:vertAlign w:val="subscript"/>
                <w:lang w:val="en-US" w:eastAsia="zh-CN" w:bidi="ar"/>
              </w:rPr>
              <w:t>5</w:t>
            </w:r>
            <w:r>
              <w:rPr>
                <w:rFonts w:hint="eastAsia" w:ascii="宋体" w:hAnsi="宋体" w:eastAsia="宋体" w:cs="宋体"/>
                <w:i w:val="0"/>
                <w:iCs w:val="0"/>
                <w:color w:val="auto"/>
                <w:kern w:val="0"/>
                <w:sz w:val="22"/>
                <w:szCs w:val="22"/>
                <w:highlight w:val="none"/>
                <w:u w:val="none"/>
                <w:lang w:val="en-US" w:eastAsia="zh-CN" w:bidi="ar"/>
              </w:rPr>
              <w:t>+300、K</w:t>
            </w:r>
            <w:r>
              <w:rPr>
                <w:rFonts w:hint="eastAsia" w:ascii="宋体" w:hAnsi="宋体" w:eastAsia="宋体" w:cs="宋体"/>
                <w:i w:val="0"/>
                <w:iCs w:val="0"/>
                <w:color w:val="auto"/>
                <w:kern w:val="0"/>
                <w:sz w:val="22"/>
                <w:szCs w:val="22"/>
                <w:highlight w:val="none"/>
                <w:u w:val="none"/>
                <w:vertAlign w:val="subscript"/>
                <w:lang w:val="en-US" w:eastAsia="zh-CN" w:bidi="ar"/>
              </w:rPr>
              <w:t>5</w:t>
            </w:r>
            <w:r>
              <w:rPr>
                <w:rFonts w:hint="eastAsia" w:ascii="宋体" w:hAnsi="宋体" w:eastAsia="宋体" w:cs="宋体"/>
                <w:i w:val="0"/>
                <w:iCs w:val="0"/>
                <w:color w:val="auto"/>
                <w:kern w:val="0"/>
                <w:sz w:val="22"/>
                <w:szCs w:val="22"/>
                <w:highlight w:val="none"/>
                <w:u w:val="none"/>
                <w:lang w:val="en-US" w:eastAsia="zh-CN" w:bidi="ar"/>
              </w:rPr>
              <w:t>+800-K</w:t>
            </w:r>
            <w:r>
              <w:rPr>
                <w:rFonts w:hint="eastAsia" w:ascii="宋体" w:hAnsi="宋体" w:eastAsia="宋体" w:cs="宋体"/>
                <w:i w:val="0"/>
                <w:iCs w:val="0"/>
                <w:color w:val="auto"/>
                <w:kern w:val="0"/>
                <w:sz w:val="22"/>
                <w:szCs w:val="22"/>
                <w:highlight w:val="none"/>
                <w:u w:val="none"/>
                <w:vertAlign w:val="subscript"/>
                <w:lang w:val="en-US" w:eastAsia="zh-CN" w:bidi="ar"/>
              </w:rPr>
              <w:t>5</w:t>
            </w:r>
            <w:r>
              <w:rPr>
                <w:rFonts w:hint="eastAsia" w:ascii="宋体" w:hAnsi="宋体" w:eastAsia="宋体" w:cs="宋体"/>
                <w:i w:val="0"/>
                <w:iCs w:val="0"/>
                <w:color w:val="auto"/>
                <w:kern w:val="0"/>
                <w:sz w:val="22"/>
                <w:szCs w:val="22"/>
                <w:highlight w:val="none"/>
                <w:u w:val="none"/>
                <w:lang w:val="en-US" w:eastAsia="zh-CN" w:bidi="ar"/>
              </w:rPr>
              <w:t>+900、K</w:t>
            </w:r>
            <w:r>
              <w:rPr>
                <w:rFonts w:hint="eastAsia" w:ascii="宋体" w:hAnsi="宋体" w:eastAsia="宋体" w:cs="宋体"/>
                <w:i w:val="0"/>
                <w:iCs w:val="0"/>
                <w:color w:val="auto"/>
                <w:kern w:val="0"/>
                <w:sz w:val="22"/>
                <w:szCs w:val="22"/>
                <w:highlight w:val="none"/>
                <w:u w:val="none"/>
                <w:vertAlign w:val="subscript"/>
                <w:lang w:val="en-US" w:eastAsia="zh-CN" w:bidi="ar"/>
              </w:rPr>
              <w:t>6</w:t>
            </w:r>
            <w:r>
              <w:rPr>
                <w:rFonts w:hint="eastAsia" w:ascii="宋体" w:hAnsi="宋体" w:eastAsia="宋体" w:cs="宋体"/>
                <w:i w:val="0"/>
                <w:iCs w:val="0"/>
                <w:color w:val="auto"/>
                <w:kern w:val="0"/>
                <w:sz w:val="22"/>
                <w:szCs w:val="22"/>
                <w:highlight w:val="none"/>
                <w:u w:val="none"/>
                <w:lang w:val="en-US" w:eastAsia="zh-CN" w:bidi="ar"/>
              </w:rPr>
              <w:t>+100、K</w:t>
            </w:r>
            <w:r>
              <w:rPr>
                <w:rFonts w:hint="eastAsia" w:ascii="宋体" w:hAnsi="宋体" w:eastAsia="宋体" w:cs="宋体"/>
                <w:i w:val="0"/>
                <w:iCs w:val="0"/>
                <w:color w:val="auto"/>
                <w:kern w:val="0"/>
                <w:sz w:val="22"/>
                <w:szCs w:val="22"/>
                <w:highlight w:val="none"/>
                <w:u w:val="none"/>
                <w:vertAlign w:val="subscript"/>
                <w:lang w:val="en-US" w:eastAsia="zh-CN" w:bidi="ar"/>
              </w:rPr>
              <w:t>10</w:t>
            </w:r>
            <w:r>
              <w:rPr>
                <w:rFonts w:hint="eastAsia" w:ascii="宋体" w:hAnsi="宋体" w:eastAsia="宋体" w:cs="宋体"/>
                <w:i w:val="0"/>
                <w:iCs w:val="0"/>
                <w:color w:val="auto"/>
                <w:kern w:val="0"/>
                <w:sz w:val="22"/>
                <w:szCs w:val="22"/>
                <w:highlight w:val="none"/>
                <w:u w:val="none"/>
                <w:lang w:val="en-US" w:eastAsia="zh-CN" w:bidi="ar"/>
              </w:rPr>
              <w:t>+100、K</w:t>
            </w:r>
            <w:r>
              <w:rPr>
                <w:rFonts w:hint="eastAsia" w:ascii="宋体" w:hAnsi="宋体" w:eastAsia="宋体" w:cs="宋体"/>
                <w:i w:val="0"/>
                <w:iCs w:val="0"/>
                <w:color w:val="auto"/>
                <w:kern w:val="0"/>
                <w:sz w:val="22"/>
                <w:szCs w:val="22"/>
                <w:highlight w:val="none"/>
                <w:u w:val="none"/>
                <w:vertAlign w:val="subscript"/>
                <w:lang w:val="en-US" w:eastAsia="zh-CN" w:bidi="ar"/>
              </w:rPr>
              <w:t>10</w:t>
            </w:r>
            <w:r>
              <w:rPr>
                <w:rFonts w:hint="eastAsia" w:ascii="宋体" w:hAnsi="宋体" w:eastAsia="宋体" w:cs="宋体"/>
                <w:i w:val="0"/>
                <w:iCs w:val="0"/>
                <w:color w:val="auto"/>
                <w:kern w:val="0"/>
                <w:sz w:val="22"/>
                <w:szCs w:val="22"/>
                <w:highlight w:val="none"/>
                <w:u w:val="none"/>
                <w:lang w:val="en-US" w:eastAsia="zh-CN" w:bidi="ar"/>
              </w:rPr>
              <w:t>+600-800处；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上、下坡及急弯</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34"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0</w:t>
            </w:r>
            <w:r>
              <w:rPr>
                <w:rFonts w:hint="eastAsia" w:ascii="宋体" w:hAnsi="宋体" w:eastAsia="宋体" w:cs="宋体"/>
                <w:i w:val="0"/>
                <w:iCs w:val="0"/>
                <w:color w:val="auto"/>
                <w:kern w:val="0"/>
                <w:sz w:val="22"/>
                <w:szCs w:val="22"/>
                <w:highlight w:val="none"/>
                <w:u w:val="none"/>
                <w:lang w:val="en-US" w:eastAsia="zh-CN" w:bidi="ar"/>
              </w:rPr>
              <w:t>+750、K</w:t>
            </w:r>
            <w:r>
              <w:rPr>
                <w:rFonts w:hint="eastAsia" w:ascii="宋体" w:hAnsi="宋体" w:eastAsia="宋体" w:cs="宋体"/>
                <w:i w:val="0"/>
                <w:iCs w:val="0"/>
                <w:color w:val="auto"/>
                <w:kern w:val="0"/>
                <w:sz w:val="22"/>
                <w:szCs w:val="22"/>
                <w:highlight w:val="none"/>
                <w:u w:val="none"/>
                <w:vertAlign w:val="subscript"/>
                <w:lang w:val="en-US" w:eastAsia="zh-CN" w:bidi="ar"/>
              </w:rPr>
              <w:t>3</w:t>
            </w:r>
            <w:r>
              <w:rPr>
                <w:rFonts w:hint="eastAsia" w:ascii="宋体" w:hAnsi="宋体" w:eastAsia="宋体" w:cs="宋体"/>
                <w:i w:val="0"/>
                <w:iCs w:val="0"/>
                <w:color w:val="auto"/>
                <w:kern w:val="0"/>
                <w:sz w:val="22"/>
                <w:szCs w:val="22"/>
                <w:highlight w:val="none"/>
                <w:u w:val="none"/>
                <w:lang w:val="en-US" w:eastAsia="zh-CN" w:bidi="ar"/>
              </w:rPr>
              <w:t>+700、K</w:t>
            </w:r>
            <w:r>
              <w:rPr>
                <w:rFonts w:hint="eastAsia" w:ascii="宋体" w:hAnsi="宋体" w:eastAsia="宋体" w:cs="宋体"/>
                <w:i w:val="0"/>
                <w:iCs w:val="0"/>
                <w:color w:val="auto"/>
                <w:kern w:val="0"/>
                <w:sz w:val="22"/>
                <w:szCs w:val="22"/>
                <w:highlight w:val="none"/>
                <w:u w:val="none"/>
                <w:vertAlign w:val="subscript"/>
                <w:lang w:val="en-US" w:eastAsia="zh-CN" w:bidi="ar"/>
              </w:rPr>
              <w:t>5</w:t>
            </w:r>
            <w:r>
              <w:rPr>
                <w:rFonts w:hint="eastAsia" w:ascii="宋体" w:hAnsi="宋体" w:eastAsia="宋体" w:cs="宋体"/>
                <w:i w:val="0"/>
                <w:iCs w:val="0"/>
                <w:color w:val="auto"/>
                <w:kern w:val="0"/>
                <w:sz w:val="22"/>
                <w:szCs w:val="22"/>
                <w:highlight w:val="none"/>
                <w:u w:val="none"/>
                <w:lang w:val="en-US" w:eastAsia="zh-CN" w:bidi="ar"/>
              </w:rPr>
              <w:t>+880、K</w:t>
            </w:r>
            <w:r>
              <w:rPr>
                <w:rFonts w:hint="eastAsia" w:ascii="宋体" w:hAnsi="宋体" w:eastAsia="宋体" w:cs="宋体"/>
                <w:i w:val="0"/>
                <w:iCs w:val="0"/>
                <w:color w:val="auto"/>
                <w:kern w:val="0"/>
                <w:sz w:val="22"/>
                <w:szCs w:val="22"/>
                <w:highlight w:val="none"/>
                <w:u w:val="none"/>
                <w:vertAlign w:val="subscript"/>
                <w:lang w:val="en-US" w:eastAsia="zh-CN" w:bidi="ar"/>
              </w:rPr>
              <w:t>8</w:t>
            </w:r>
            <w:r>
              <w:rPr>
                <w:rFonts w:hint="eastAsia" w:ascii="宋体" w:hAnsi="宋体" w:eastAsia="宋体" w:cs="宋体"/>
                <w:i w:val="0"/>
                <w:iCs w:val="0"/>
                <w:color w:val="auto"/>
                <w:kern w:val="0"/>
                <w:sz w:val="22"/>
                <w:szCs w:val="22"/>
                <w:highlight w:val="none"/>
                <w:u w:val="none"/>
                <w:lang w:val="en-US" w:eastAsia="zh-CN" w:bidi="ar"/>
              </w:rPr>
              <w:t>+080、K</w:t>
            </w:r>
            <w:r>
              <w:rPr>
                <w:rFonts w:hint="eastAsia" w:ascii="宋体" w:hAnsi="宋体" w:eastAsia="宋体" w:cs="宋体"/>
                <w:i w:val="0"/>
                <w:iCs w:val="0"/>
                <w:color w:val="auto"/>
                <w:kern w:val="0"/>
                <w:sz w:val="22"/>
                <w:szCs w:val="22"/>
                <w:highlight w:val="none"/>
                <w:u w:val="none"/>
                <w:vertAlign w:val="subscript"/>
                <w:lang w:val="en-US" w:eastAsia="zh-CN" w:bidi="ar"/>
              </w:rPr>
              <w:t>9</w:t>
            </w:r>
            <w:r>
              <w:rPr>
                <w:rFonts w:hint="eastAsia" w:ascii="宋体" w:hAnsi="宋体" w:eastAsia="宋体" w:cs="宋体"/>
                <w:i w:val="0"/>
                <w:iCs w:val="0"/>
                <w:color w:val="auto"/>
                <w:kern w:val="0"/>
                <w:sz w:val="22"/>
                <w:szCs w:val="22"/>
                <w:highlight w:val="none"/>
                <w:u w:val="none"/>
                <w:lang w:val="en-US" w:eastAsia="zh-CN" w:bidi="ar"/>
              </w:rPr>
              <w:t>+500、K</w:t>
            </w:r>
            <w:r>
              <w:rPr>
                <w:rFonts w:hint="eastAsia" w:ascii="宋体" w:hAnsi="宋体" w:eastAsia="宋体" w:cs="宋体"/>
                <w:i w:val="0"/>
                <w:iCs w:val="0"/>
                <w:color w:val="auto"/>
                <w:kern w:val="0"/>
                <w:sz w:val="22"/>
                <w:szCs w:val="22"/>
                <w:highlight w:val="none"/>
                <w:u w:val="none"/>
                <w:vertAlign w:val="subscript"/>
                <w:lang w:val="en-US" w:eastAsia="zh-CN" w:bidi="ar"/>
              </w:rPr>
              <w:t>10</w:t>
            </w:r>
            <w:r>
              <w:rPr>
                <w:rFonts w:hint="eastAsia" w:ascii="宋体" w:hAnsi="宋体" w:eastAsia="宋体" w:cs="宋体"/>
                <w:i w:val="0"/>
                <w:iCs w:val="0"/>
                <w:color w:val="auto"/>
                <w:kern w:val="0"/>
                <w:sz w:val="22"/>
                <w:szCs w:val="22"/>
                <w:highlight w:val="none"/>
                <w:u w:val="none"/>
                <w:lang w:val="en-US" w:eastAsia="zh-CN" w:bidi="ar"/>
              </w:rPr>
              <w:t>+600、K</w:t>
            </w:r>
            <w:r>
              <w:rPr>
                <w:rFonts w:hint="eastAsia" w:ascii="宋体" w:hAnsi="宋体" w:eastAsia="宋体" w:cs="宋体"/>
                <w:i w:val="0"/>
                <w:iCs w:val="0"/>
                <w:color w:val="auto"/>
                <w:kern w:val="0"/>
                <w:sz w:val="22"/>
                <w:szCs w:val="22"/>
                <w:highlight w:val="none"/>
                <w:u w:val="none"/>
                <w:vertAlign w:val="subscript"/>
                <w:lang w:val="en-US" w:eastAsia="zh-CN" w:bidi="ar"/>
              </w:rPr>
              <w:t>11</w:t>
            </w:r>
            <w:r>
              <w:rPr>
                <w:rFonts w:hint="eastAsia" w:ascii="宋体" w:hAnsi="宋体" w:eastAsia="宋体" w:cs="宋体"/>
                <w:i w:val="0"/>
                <w:iCs w:val="0"/>
                <w:color w:val="auto"/>
                <w:kern w:val="0"/>
                <w:sz w:val="22"/>
                <w:szCs w:val="22"/>
                <w:highlight w:val="none"/>
                <w:u w:val="none"/>
                <w:lang w:val="en-US" w:eastAsia="zh-CN" w:bidi="ar"/>
              </w:rPr>
              <w:t>+300、K</w:t>
            </w:r>
            <w:r>
              <w:rPr>
                <w:rFonts w:hint="eastAsia" w:ascii="宋体" w:hAnsi="宋体" w:eastAsia="宋体" w:cs="宋体"/>
                <w:i w:val="0"/>
                <w:iCs w:val="0"/>
                <w:color w:val="auto"/>
                <w:kern w:val="0"/>
                <w:sz w:val="22"/>
                <w:szCs w:val="22"/>
                <w:highlight w:val="none"/>
                <w:u w:val="none"/>
                <w:vertAlign w:val="subscript"/>
                <w:lang w:val="en-US" w:eastAsia="zh-CN" w:bidi="ar"/>
              </w:rPr>
              <w:t>3</w:t>
            </w:r>
            <w:r>
              <w:rPr>
                <w:rFonts w:hint="eastAsia" w:ascii="宋体" w:hAnsi="宋体" w:eastAsia="宋体" w:cs="宋体"/>
                <w:i w:val="0"/>
                <w:iCs w:val="0"/>
                <w:color w:val="auto"/>
                <w:kern w:val="0"/>
                <w:sz w:val="22"/>
                <w:szCs w:val="22"/>
                <w:highlight w:val="none"/>
                <w:u w:val="none"/>
                <w:lang w:val="en-US" w:eastAsia="zh-CN" w:bidi="ar"/>
              </w:rPr>
              <w:t>+620</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易塌方路段</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42" w:hRule="atLeast"/>
          <w:jc w:val="center"/>
        </w:trPr>
        <w:tc>
          <w:tcPr>
            <w:tcW w:w="56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72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罗力</w:t>
            </w:r>
          </w:p>
        </w:tc>
        <w:tc>
          <w:tcPr>
            <w:tcW w:w="119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通水线</w:t>
            </w: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11</w:t>
            </w:r>
            <w:r>
              <w:rPr>
                <w:rFonts w:hint="eastAsia" w:ascii="宋体" w:hAnsi="宋体" w:eastAsia="宋体" w:cs="宋体"/>
                <w:i w:val="0"/>
                <w:iCs w:val="0"/>
                <w:color w:val="auto"/>
                <w:kern w:val="0"/>
                <w:sz w:val="22"/>
                <w:szCs w:val="22"/>
                <w:highlight w:val="none"/>
                <w:u w:val="none"/>
                <w:lang w:val="en-US" w:eastAsia="zh-CN" w:bidi="ar"/>
              </w:rPr>
              <w:t>+900-K</w:t>
            </w:r>
            <w:r>
              <w:rPr>
                <w:rFonts w:hint="eastAsia" w:ascii="宋体" w:hAnsi="宋体" w:eastAsia="宋体" w:cs="宋体"/>
                <w:i w:val="0"/>
                <w:iCs w:val="0"/>
                <w:color w:val="auto"/>
                <w:kern w:val="0"/>
                <w:sz w:val="22"/>
                <w:szCs w:val="22"/>
                <w:highlight w:val="none"/>
                <w:u w:val="none"/>
                <w:vertAlign w:val="subscript"/>
                <w:lang w:val="en-US" w:eastAsia="zh-CN" w:bidi="ar"/>
              </w:rPr>
              <w:t>12</w:t>
            </w:r>
            <w:r>
              <w:rPr>
                <w:rFonts w:hint="eastAsia" w:ascii="宋体" w:hAnsi="宋体" w:eastAsia="宋体" w:cs="宋体"/>
                <w:i w:val="0"/>
                <w:iCs w:val="0"/>
                <w:color w:val="auto"/>
                <w:kern w:val="0"/>
                <w:sz w:val="22"/>
                <w:szCs w:val="22"/>
                <w:highlight w:val="none"/>
                <w:u w:val="none"/>
                <w:lang w:val="en-US" w:eastAsia="zh-CN" w:bidi="ar"/>
              </w:rPr>
              <w:t>+200、K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+100-K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+200、K</w:t>
            </w:r>
            <w:r>
              <w:rPr>
                <w:rFonts w:hint="eastAsia" w:ascii="宋体" w:hAnsi="宋体" w:eastAsia="宋体" w:cs="宋体"/>
                <w:i w:val="0"/>
                <w:iCs w:val="0"/>
                <w:color w:val="auto"/>
                <w:kern w:val="0"/>
                <w:sz w:val="22"/>
                <w:szCs w:val="22"/>
                <w:highlight w:val="none"/>
                <w:u w:val="none"/>
                <w:vertAlign w:val="subscript"/>
                <w:lang w:val="en-US" w:eastAsia="zh-CN" w:bidi="ar"/>
              </w:rPr>
              <w:t>15</w:t>
            </w:r>
            <w:r>
              <w:rPr>
                <w:rFonts w:hint="eastAsia" w:ascii="宋体" w:hAnsi="宋体" w:eastAsia="宋体" w:cs="宋体"/>
                <w:i w:val="0"/>
                <w:iCs w:val="0"/>
                <w:color w:val="auto"/>
                <w:kern w:val="0"/>
                <w:sz w:val="22"/>
                <w:szCs w:val="22"/>
                <w:highlight w:val="none"/>
                <w:u w:val="none"/>
                <w:lang w:val="en-US" w:eastAsia="zh-CN" w:bidi="ar"/>
              </w:rPr>
              <w:t>+200-K</w:t>
            </w:r>
            <w:r>
              <w:rPr>
                <w:rFonts w:hint="eastAsia" w:ascii="宋体" w:hAnsi="宋体" w:eastAsia="宋体" w:cs="宋体"/>
                <w:i w:val="0"/>
                <w:iCs w:val="0"/>
                <w:color w:val="auto"/>
                <w:kern w:val="0"/>
                <w:sz w:val="22"/>
                <w:szCs w:val="22"/>
                <w:highlight w:val="none"/>
                <w:u w:val="none"/>
                <w:vertAlign w:val="subscript"/>
                <w:lang w:val="en-US" w:eastAsia="zh-CN" w:bidi="ar"/>
              </w:rPr>
              <w:t>15</w:t>
            </w:r>
            <w:r>
              <w:rPr>
                <w:rFonts w:hint="eastAsia" w:ascii="宋体" w:hAnsi="宋体" w:eastAsia="宋体" w:cs="宋体"/>
                <w:i w:val="0"/>
                <w:iCs w:val="0"/>
                <w:color w:val="auto"/>
                <w:kern w:val="0"/>
                <w:sz w:val="22"/>
                <w:szCs w:val="22"/>
                <w:highlight w:val="none"/>
                <w:u w:val="none"/>
                <w:lang w:val="en-US" w:eastAsia="zh-CN" w:bidi="ar"/>
              </w:rPr>
              <w:t>+400、K</w:t>
            </w:r>
            <w:r>
              <w:rPr>
                <w:rFonts w:hint="eastAsia" w:ascii="宋体" w:hAnsi="宋体" w:eastAsia="宋体" w:cs="宋体"/>
                <w:i w:val="0"/>
                <w:iCs w:val="0"/>
                <w:color w:val="auto"/>
                <w:kern w:val="0"/>
                <w:sz w:val="22"/>
                <w:szCs w:val="22"/>
                <w:highlight w:val="none"/>
                <w:u w:val="none"/>
                <w:vertAlign w:val="subscript"/>
                <w:lang w:val="en-US" w:eastAsia="zh-CN" w:bidi="ar"/>
              </w:rPr>
              <w:t>16</w:t>
            </w:r>
            <w:r>
              <w:rPr>
                <w:rFonts w:hint="eastAsia" w:ascii="宋体" w:hAnsi="宋体" w:eastAsia="宋体" w:cs="宋体"/>
                <w:i w:val="0"/>
                <w:iCs w:val="0"/>
                <w:color w:val="auto"/>
                <w:kern w:val="0"/>
                <w:sz w:val="22"/>
                <w:szCs w:val="22"/>
                <w:highlight w:val="none"/>
                <w:u w:val="none"/>
                <w:lang w:val="en-US" w:eastAsia="zh-CN" w:bidi="ar"/>
              </w:rPr>
              <w:t>+600-K</w:t>
            </w:r>
            <w:r>
              <w:rPr>
                <w:rFonts w:hint="eastAsia" w:ascii="宋体" w:hAnsi="宋体" w:eastAsia="宋体" w:cs="宋体"/>
                <w:i w:val="0"/>
                <w:iCs w:val="0"/>
                <w:color w:val="auto"/>
                <w:kern w:val="0"/>
                <w:sz w:val="22"/>
                <w:szCs w:val="22"/>
                <w:highlight w:val="none"/>
                <w:u w:val="none"/>
                <w:vertAlign w:val="subscript"/>
                <w:lang w:val="en-US" w:eastAsia="zh-CN" w:bidi="ar"/>
              </w:rPr>
              <w:t>16</w:t>
            </w:r>
            <w:r>
              <w:rPr>
                <w:rFonts w:hint="eastAsia" w:ascii="宋体" w:hAnsi="宋体" w:eastAsia="宋体" w:cs="宋体"/>
                <w:i w:val="0"/>
                <w:iCs w:val="0"/>
                <w:color w:val="auto"/>
                <w:kern w:val="0"/>
                <w:sz w:val="22"/>
                <w:szCs w:val="22"/>
                <w:highlight w:val="none"/>
                <w:u w:val="none"/>
                <w:lang w:val="en-US" w:eastAsia="zh-CN" w:bidi="ar"/>
              </w:rPr>
              <w:t>+800处；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上长坡</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34"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9</w:t>
            </w:r>
            <w:r>
              <w:rPr>
                <w:rFonts w:hint="eastAsia" w:ascii="宋体" w:hAnsi="宋体" w:eastAsia="宋体" w:cs="宋体"/>
                <w:i w:val="0"/>
                <w:iCs w:val="0"/>
                <w:color w:val="auto"/>
                <w:kern w:val="0"/>
                <w:sz w:val="22"/>
                <w:szCs w:val="22"/>
                <w:highlight w:val="none"/>
                <w:u w:val="none"/>
                <w:lang w:val="en-US" w:eastAsia="zh-CN" w:bidi="ar"/>
              </w:rPr>
              <w:t>+500-K</w:t>
            </w:r>
            <w:r>
              <w:rPr>
                <w:rFonts w:hint="eastAsia" w:ascii="宋体" w:hAnsi="宋体" w:eastAsia="宋体" w:cs="宋体"/>
                <w:i w:val="0"/>
                <w:iCs w:val="0"/>
                <w:color w:val="auto"/>
                <w:kern w:val="0"/>
                <w:sz w:val="22"/>
                <w:szCs w:val="22"/>
                <w:highlight w:val="none"/>
                <w:u w:val="none"/>
                <w:vertAlign w:val="subscript"/>
                <w:lang w:val="en-US" w:eastAsia="zh-CN" w:bidi="ar"/>
              </w:rPr>
              <w:t>9</w:t>
            </w:r>
            <w:r>
              <w:rPr>
                <w:rFonts w:hint="eastAsia" w:ascii="宋体" w:hAnsi="宋体" w:eastAsia="宋体" w:cs="宋体"/>
                <w:i w:val="0"/>
                <w:iCs w:val="0"/>
                <w:color w:val="auto"/>
                <w:kern w:val="0"/>
                <w:sz w:val="22"/>
                <w:szCs w:val="22"/>
                <w:highlight w:val="none"/>
                <w:u w:val="none"/>
                <w:lang w:val="en-US" w:eastAsia="zh-CN" w:bidi="ar"/>
              </w:rPr>
              <w:t>+700、K</w:t>
            </w:r>
            <w:r>
              <w:rPr>
                <w:rFonts w:hint="eastAsia" w:ascii="宋体" w:hAnsi="宋体" w:eastAsia="宋体" w:cs="宋体"/>
                <w:i w:val="0"/>
                <w:iCs w:val="0"/>
                <w:color w:val="auto"/>
                <w:kern w:val="0"/>
                <w:sz w:val="22"/>
                <w:szCs w:val="22"/>
                <w:highlight w:val="none"/>
                <w:u w:val="none"/>
                <w:vertAlign w:val="subscript"/>
                <w:lang w:val="en-US" w:eastAsia="zh-CN" w:bidi="ar"/>
              </w:rPr>
              <w:t>13</w:t>
            </w:r>
            <w:r>
              <w:rPr>
                <w:rFonts w:hint="eastAsia" w:ascii="宋体" w:hAnsi="宋体" w:eastAsia="宋体" w:cs="宋体"/>
                <w:i w:val="0"/>
                <w:iCs w:val="0"/>
                <w:color w:val="auto"/>
                <w:kern w:val="0"/>
                <w:sz w:val="22"/>
                <w:szCs w:val="22"/>
                <w:highlight w:val="none"/>
                <w:u w:val="none"/>
                <w:lang w:val="en-US" w:eastAsia="zh-CN" w:bidi="ar"/>
              </w:rPr>
              <w:t>+200-K</w:t>
            </w:r>
            <w:r>
              <w:rPr>
                <w:rFonts w:hint="eastAsia" w:ascii="宋体" w:hAnsi="宋体" w:eastAsia="宋体" w:cs="宋体"/>
                <w:i w:val="0"/>
                <w:iCs w:val="0"/>
                <w:color w:val="auto"/>
                <w:kern w:val="0"/>
                <w:sz w:val="22"/>
                <w:szCs w:val="22"/>
                <w:highlight w:val="none"/>
                <w:u w:val="none"/>
                <w:vertAlign w:val="subscript"/>
                <w:lang w:val="en-US" w:eastAsia="zh-CN" w:bidi="ar"/>
              </w:rPr>
              <w:t>13</w:t>
            </w:r>
            <w:r>
              <w:rPr>
                <w:rFonts w:hint="eastAsia" w:ascii="宋体" w:hAnsi="宋体" w:eastAsia="宋体" w:cs="宋体"/>
                <w:i w:val="0"/>
                <w:iCs w:val="0"/>
                <w:color w:val="auto"/>
                <w:kern w:val="0"/>
                <w:sz w:val="22"/>
                <w:szCs w:val="22"/>
                <w:highlight w:val="none"/>
                <w:u w:val="none"/>
                <w:lang w:val="en-US" w:eastAsia="zh-CN" w:bidi="ar"/>
              </w:rPr>
              <w:t>+300、K</w:t>
            </w:r>
            <w:r>
              <w:rPr>
                <w:rFonts w:hint="eastAsia" w:ascii="宋体" w:hAnsi="宋体" w:eastAsia="宋体" w:cs="宋体"/>
                <w:i w:val="0"/>
                <w:iCs w:val="0"/>
                <w:color w:val="auto"/>
                <w:kern w:val="0"/>
                <w:sz w:val="22"/>
                <w:szCs w:val="22"/>
                <w:highlight w:val="none"/>
                <w:u w:val="none"/>
                <w:vertAlign w:val="subscript"/>
                <w:lang w:val="en-US" w:eastAsia="zh-CN" w:bidi="ar"/>
              </w:rPr>
              <w:t>16</w:t>
            </w:r>
            <w:r>
              <w:rPr>
                <w:rFonts w:hint="eastAsia" w:ascii="宋体" w:hAnsi="宋体" w:eastAsia="宋体" w:cs="宋体"/>
                <w:i w:val="0"/>
                <w:iCs w:val="0"/>
                <w:color w:val="auto"/>
                <w:kern w:val="0"/>
                <w:sz w:val="22"/>
                <w:szCs w:val="22"/>
                <w:highlight w:val="none"/>
                <w:u w:val="none"/>
                <w:lang w:val="en-US" w:eastAsia="zh-CN" w:bidi="ar"/>
              </w:rPr>
              <w:t>+200-K</w:t>
            </w:r>
            <w:r>
              <w:rPr>
                <w:rFonts w:hint="eastAsia" w:ascii="宋体" w:hAnsi="宋体" w:eastAsia="宋体" w:cs="宋体"/>
                <w:i w:val="0"/>
                <w:iCs w:val="0"/>
                <w:color w:val="auto"/>
                <w:kern w:val="0"/>
                <w:sz w:val="22"/>
                <w:szCs w:val="22"/>
                <w:highlight w:val="none"/>
                <w:u w:val="none"/>
                <w:vertAlign w:val="subscript"/>
                <w:lang w:val="en-US" w:eastAsia="zh-CN" w:bidi="ar"/>
              </w:rPr>
              <w:t>16</w:t>
            </w:r>
            <w:r>
              <w:rPr>
                <w:rFonts w:hint="eastAsia" w:ascii="宋体" w:hAnsi="宋体" w:eastAsia="宋体" w:cs="宋体"/>
                <w:i w:val="0"/>
                <w:iCs w:val="0"/>
                <w:color w:val="auto"/>
                <w:kern w:val="0"/>
                <w:sz w:val="22"/>
                <w:szCs w:val="22"/>
                <w:highlight w:val="none"/>
                <w:u w:val="none"/>
                <w:lang w:val="en-US" w:eastAsia="zh-CN" w:bidi="ar"/>
              </w:rPr>
              <w:t>+400处；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下长坡</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12</w:t>
            </w:r>
            <w:r>
              <w:rPr>
                <w:rFonts w:hint="eastAsia" w:ascii="宋体" w:hAnsi="宋体" w:eastAsia="宋体" w:cs="宋体"/>
                <w:i w:val="0"/>
                <w:iCs w:val="0"/>
                <w:color w:val="auto"/>
                <w:kern w:val="0"/>
                <w:sz w:val="22"/>
                <w:szCs w:val="22"/>
                <w:highlight w:val="none"/>
                <w:u w:val="none"/>
                <w:lang w:val="en-US" w:eastAsia="zh-CN" w:bidi="ar"/>
              </w:rPr>
              <w:t>+300处。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易塌方路段</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72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毛道乡</w:t>
            </w:r>
          </w:p>
        </w:tc>
        <w:tc>
          <w:tcPr>
            <w:tcW w:w="119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通毛线</w:t>
            </w: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15</w:t>
            </w:r>
            <w:r>
              <w:rPr>
                <w:rFonts w:hint="eastAsia" w:ascii="宋体" w:hAnsi="宋体" w:eastAsia="宋体" w:cs="宋体"/>
                <w:i w:val="0"/>
                <w:iCs w:val="0"/>
                <w:color w:val="auto"/>
                <w:kern w:val="0"/>
                <w:sz w:val="22"/>
                <w:szCs w:val="22"/>
                <w:highlight w:val="none"/>
                <w:u w:val="none"/>
                <w:lang w:val="en-US" w:eastAsia="zh-CN" w:bidi="ar"/>
              </w:rPr>
              <w:t>+300、K</w:t>
            </w:r>
            <w:r>
              <w:rPr>
                <w:rFonts w:hint="eastAsia" w:ascii="宋体" w:hAnsi="宋体" w:eastAsia="宋体" w:cs="宋体"/>
                <w:i w:val="0"/>
                <w:iCs w:val="0"/>
                <w:color w:val="auto"/>
                <w:kern w:val="0"/>
                <w:sz w:val="22"/>
                <w:szCs w:val="22"/>
                <w:highlight w:val="none"/>
                <w:u w:val="none"/>
                <w:vertAlign w:val="subscript"/>
                <w:lang w:val="en-US" w:eastAsia="zh-CN" w:bidi="ar"/>
              </w:rPr>
              <w:t>15</w:t>
            </w:r>
            <w:r>
              <w:rPr>
                <w:rFonts w:hint="eastAsia" w:ascii="宋体" w:hAnsi="宋体" w:eastAsia="宋体" w:cs="宋体"/>
                <w:i w:val="0"/>
                <w:iCs w:val="0"/>
                <w:color w:val="auto"/>
                <w:kern w:val="0"/>
                <w:sz w:val="22"/>
                <w:szCs w:val="22"/>
                <w:highlight w:val="none"/>
                <w:u w:val="none"/>
                <w:lang w:val="en-US" w:eastAsia="zh-CN" w:bidi="ar"/>
              </w:rPr>
              <w:t>+800处；K</w:t>
            </w:r>
            <w:r>
              <w:rPr>
                <w:rFonts w:hint="eastAsia" w:ascii="宋体" w:hAnsi="宋体" w:eastAsia="宋体" w:cs="宋体"/>
                <w:i w:val="0"/>
                <w:iCs w:val="0"/>
                <w:color w:val="auto"/>
                <w:kern w:val="0"/>
                <w:sz w:val="22"/>
                <w:szCs w:val="22"/>
                <w:highlight w:val="none"/>
                <w:u w:val="none"/>
                <w:vertAlign w:val="subscript"/>
                <w:lang w:val="en-US" w:eastAsia="zh-CN" w:bidi="ar"/>
              </w:rPr>
              <w:t>6</w:t>
            </w:r>
            <w:r>
              <w:rPr>
                <w:rFonts w:hint="eastAsia" w:ascii="宋体" w:hAnsi="宋体" w:eastAsia="宋体" w:cs="宋体"/>
                <w:i w:val="0"/>
                <w:iCs w:val="0"/>
                <w:color w:val="auto"/>
                <w:kern w:val="0"/>
                <w:sz w:val="22"/>
                <w:szCs w:val="22"/>
                <w:highlight w:val="none"/>
                <w:u w:val="none"/>
                <w:lang w:val="en-US" w:eastAsia="zh-CN" w:bidi="ar"/>
              </w:rPr>
              <w:t>+400-600、K</w:t>
            </w:r>
            <w:r>
              <w:rPr>
                <w:rFonts w:hint="eastAsia" w:ascii="宋体" w:hAnsi="宋体" w:eastAsia="宋体" w:cs="宋体"/>
                <w:i w:val="0"/>
                <w:iCs w:val="0"/>
                <w:color w:val="auto"/>
                <w:kern w:val="0"/>
                <w:sz w:val="22"/>
                <w:szCs w:val="22"/>
                <w:highlight w:val="none"/>
                <w:u w:val="none"/>
                <w:vertAlign w:val="subscript"/>
                <w:lang w:val="en-US" w:eastAsia="zh-CN" w:bidi="ar"/>
              </w:rPr>
              <w:t>3</w:t>
            </w:r>
            <w:r>
              <w:rPr>
                <w:rFonts w:hint="eastAsia" w:ascii="宋体" w:hAnsi="宋体" w:eastAsia="宋体" w:cs="宋体"/>
                <w:i w:val="0"/>
                <w:iCs w:val="0"/>
                <w:color w:val="auto"/>
                <w:kern w:val="0"/>
                <w:sz w:val="22"/>
                <w:szCs w:val="22"/>
                <w:highlight w:val="none"/>
                <w:u w:val="none"/>
                <w:lang w:val="en-US" w:eastAsia="zh-CN" w:bidi="ar"/>
              </w:rPr>
              <w:t>+350-500处；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上、下坡及急弯</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34"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10</w:t>
            </w:r>
            <w:r>
              <w:rPr>
                <w:rFonts w:hint="eastAsia" w:ascii="宋体" w:hAnsi="宋体" w:eastAsia="宋体" w:cs="宋体"/>
                <w:i w:val="0"/>
                <w:iCs w:val="0"/>
                <w:color w:val="auto"/>
                <w:kern w:val="0"/>
                <w:sz w:val="22"/>
                <w:szCs w:val="22"/>
                <w:highlight w:val="none"/>
                <w:u w:val="none"/>
                <w:lang w:val="en-US" w:eastAsia="zh-CN" w:bidi="ar"/>
              </w:rPr>
              <w:t>+150、K</w:t>
            </w:r>
            <w:r>
              <w:rPr>
                <w:rFonts w:hint="eastAsia" w:ascii="宋体" w:hAnsi="宋体" w:eastAsia="宋体" w:cs="宋体"/>
                <w:i w:val="0"/>
                <w:iCs w:val="0"/>
                <w:color w:val="auto"/>
                <w:kern w:val="0"/>
                <w:sz w:val="22"/>
                <w:szCs w:val="22"/>
                <w:highlight w:val="none"/>
                <w:u w:val="none"/>
                <w:vertAlign w:val="subscript"/>
                <w:lang w:val="en-US" w:eastAsia="zh-CN" w:bidi="ar"/>
              </w:rPr>
              <w:t>11</w:t>
            </w:r>
            <w:r>
              <w:rPr>
                <w:rFonts w:hint="eastAsia" w:ascii="宋体" w:hAnsi="宋体" w:eastAsia="宋体" w:cs="宋体"/>
                <w:i w:val="0"/>
                <w:iCs w:val="0"/>
                <w:color w:val="auto"/>
                <w:kern w:val="0"/>
                <w:sz w:val="22"/>
                <w:szCs w:val="22"/>
                <w:highlight w:val="none"/>
                <w:u w:val="none"/>
                <w:lang w:val="en-US" w:eastAsia="zh-CN" w:bidi="ar"/>
              </w:rPr>
              <w:t>+060、K</w:t>
            </w:r>
            <w:r>
              <w:rPr>
                <w:rFonts w:hint="eastAsia" w:ascii="宋体" w:hAnsi="宋体" w:eastAsia="宋体" w:cs="宋体"/>
                <w:i w:val="0"/>
                <w:iCs w:val="0"/>
                <w:color w:val="auto"/>
                <w:kern w:val="0"/>
                <w:sz w:val="22"/>
                <w:szCs w:val="22"/>
                <w:highlight w:val="none"/>
                <w:u w:val="none"/>
                <w:vertAlign w:val="subscript"/>
                <w:lang w:val="en-US" w:eastAsia="zh-CN" w:bidi="ar"/>
              </w:rPr>
              <w:t>11</w:t>
            </w:r>
            <w:r>
              <w:rPr>
                <w:rFonts w:hint="eastAsia" w:ascii="宋体" w:hAnsi="宋体" w:eastAsia="宋体" w:cs="宋体"/>
                <w:i w:val="0"/>
                <w:iCs w:val="0"/>
                <w:color w:val="auto"/>
                <w:kern w:val="0"/>
                <w:sz w:val="22"/>
                <w:szCs w:val="22"/>
                <w:highlight w:val="none"/>
                <w:u w:val="none"/>
                <w:lang w:val="en-US" w:eastAsia="zh-CN" w:bidi="ar"/>
              </w:rPr>
              <w:t>+470、K</w:t>
            </w:r>
            <w:r>
              <w:rPr>
                <w:rFonts w:hint="eastAsia" w:ascii="宋体" w:hAnsi="宋体" w:eastAsia="宋体" w:cs="宋体"/>
                <w:i w:val="0"/>
                <w:iCs w:val="0"/>
                <w:color w:val="auto"/>
                <w:kern w:val="0"/>
                <w:sz w:val="22"/>
                <w:szCs w:val="22"/>
                <w:highlight w:val="none"/>
                <w:u w:val="none"/>
                <w:vertAlign w:val="subscript"/>
                <w:lang w:val="en-US" w:eastAsia="zh-CN" w:bidi="ar"/>
              </w:rPr>
              <w:t>12</w:t>
            </w:r>
            <w:r>
              <w:rPr>
                <w:rFonts w:hint="eastAsia" w:ascii="宋体" w:hAnsi="宋体" w:eastAsia="宋体" w:cs="宋体"/>
                <w:i w:val="0"/>
                <w:iCs w:val="0"/>
                <w:color w:val="auto"/>
                <w:kern w:val="0"/>
                <w:sz w:val="22"/>
                <w:szCs w:val="22"/>
                <w:highlight w:val="none"/>
                <w:u w:val="none"/>
                <w:lang w:val="en-US" w:eastAsia="zh-CN" w:bidi="ar"/>
              </w:rPr>
              <w:t>+720、K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+800、K</w:t>
            </w:r>
            <w:r>
              <w:rPr>
                <w:rFonts w:hint="eastAsia" w:ascii="宋体" w:hAnsi="宋体" w:eastAsia="宋体" w:cs="宋体"/>
                <w:i w:val="0"/>
                <w:iCs w:val="0"/>
                <w:color w:val="auto"/>
                <w:kern w:val="0"/>
                <w:sz w:val="22"/>
                <w:szCs w:val="22"/>
                <w:highlight w:val="none"/>
                <w:u w:val="none"/>
                <w:vertAlign w:val="subscript"/>
                <w:lang w:val="en-US" w:eastAsia="zh-CN" w:bidi="ar"/>
              </w:rPr>
              <w:t>15</w:t>
            </w:r>
            <w:r>
              <w:rPr>
                <w:rFonts w:hint="eastAsia" w:ascii="宋体" w:hAnsi="宋体" w:eastAsia="宋体" w:cs="宋体"/>
                <w:i w:val="0"/>
                <w:iCs w:val="0"/>
                <w:color w:val="auto"/>
                <w:kern w:val="0"/>
                <w:sz w:val="22"/>
                <w:szCs w:val="22"/>
                <w:highlight w:val="none"/>
                <w:u w:val="none"/>
                <w:lang w:val="en-US" w:eastAsia="zh-CN" w:bidi="ar"/>
              </w:rPr>
              <w:t>+300、K</w:t>
            </w:r>
            <w:r>
              <w:rPr>
                <w:rFonts w:hint="eastAsia" w:ascii="宋体" w:hAnsi="宋体" w:eastAsia="宋体" w:cs="宋体"/>
                <w:i w:val="0"/>
                <w:iCs w:val="0"/>
                <w:color w:val="auto"/>
                <w:kern w:val="0"/>
                <w:sz w:val="22"/>
                <w:szCs w:val="22"/>
                <w:highlight w:val="none"/>
                <w:u w:val="none"/>
                <w:vertAlign w:val="subscript"/>
                <w:lang w:val="en-US" w:eastAsia="zh-CN" w:bidi="ar"/>
              </w:rPr>
              <w:t>6</w:t>
            </w:r>
            <w:r>
              <w:rPr>
                <w:rFonts w:hint="eastAsia" w:ascii="宋体" w:hAnsi="宋体" w:eastAsia="宋体" w:cs="宋体"/>
                <w:i w:val="0"/>
                <w:iCs w:val="0"/>
                <w:color w:val="auto"/>
                <w:kern w:val="0"/>
                <w:sz w:val="22"/>
                <w:szCs w:val="22"/>
                <w:highlight w:val="none"/>
                <w:u w:val="none"/>
                <w:lang w:val="en-US" w:eastAsia="zh-CN" w:bidi="ar"/>
              </w:rPr>
              <w:t>+400-600处；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易塌方路段</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72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水满及南圣</w:t>
            </w:r>
          </w:p>
        </w:tc>
        <w:tc>
          <w:tcPr>
            <w:tcW w:w="119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南水线</w:t>
            </w: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3</w:t>
            </w:r>
            <w:r>
              <w:rPr>
                <w:rFonts w:hint="eastAsia" w:ascii="宋体" w:hAnsi="宋体" w:eastAsia="宋体" w:cs="宋体"/>
                <w:i w:val="0"/>
                <w:iCs w:val="0"/>
                <w:color w:val="auto"/>
                <w:kern w:val="0"/>
                <w:sz w:val="22"/>
                <w:szCs w:val="22"/>
                <w:highlight w:val="none"/>
                <w:u w:val="none"/>
                <w:lang w:val="en-US" w:eastAsia="zh-CN" w:bidi="ar"/>
              </w:rPr>
              <w:t>+430、K</w:t>
            </w:r>
            <w:r>
              <w:rPr>
                <w:rFonts w:hint="eastAsia" w:ascii="宋体" w:hAnsi="宋体" w:eastAsia="宋体" w:cs="宋体"/>
                <w:i w:val="0"/>
                <w:iCs w:val="0"/>
                <w:color w:val="auto"/>
                <w:kern w:val="0"/>
                <w:sz w:val="22"/>
                <w:szCs w:val="22"/>
                <w:highlight w:val="none"/>
                <w:u w:val="none"/>
                <w:vertAlign w:val="subscript"/>
                <w:lang w:val="en-US" w:eastAsia="zh-CN" w:bidi="ar"/>
              </w:rPr>
              <w:t>4</w:t>
            </w:r>
            <w:r>
              <w:rPr>
                <w:rFonts w:hint="eastAsia" w:ascii="宋体" w:hAnsi="宋体" w:eastAsia="宋体" w:cs="宋体"/>
                <w:i w:val="0"/>
                <w:iCs w:val="0"/>
                <w:color w:val="auto"/>
                <w:kern w:val="0"/>
                <w:sz w:val="22"/>
                <w:szCs w:val="22"/>
                <w:highlight w:val="none"/>
                <w:u w:val="none"/>
                <w:lang w:val="en-US" w:eastAsia="zh-CN" w:bidi="ar"/>
              </w:rPr>
              <w:t>+600、K</w:t>
            </w:r>
            <w:r>
              <w:rPr>
                <w:rFonts w:hint="eastAsia" w:ascii="宋体" w:hAnsi="宋体" w:eastAsia="宋体" w:cs="宋体"/>
                <w:i w:val="0"/>
                <w:iCs w:val="0"/>
                <w:color w:val="auto"/>
                <w:kern w:val="0"/>
                <w:sz w:val="22"/>
                <w:szCs w:val="22"/>
                <w:highlight w:val="none"/>
                <w:u w:val="none"/>
                <w:vertAlign w:val="subscript"/>
                <w:lang w:val="en-US" w:eastAsia="zh-CN" w:bidi="ar"/>
              </w:rPr>
              <w:t>9</w:t>
            </w:r>
            <w:r>
              <w:rPr>
                <w:rFonts w:hint="eastAsia" w:ascii="宋体" w:hAnsi="宋体" w:eastAsia="宋体" w:cs="宋体"/>
                <w:i w:val="0"/>
                <w:iCs w:val="0"/>
                <w:color w:val="auto"/>
                <w:kern w:val="0"/>
                <w:sz w:val="22"/>
                <w:szCs w:val="22"/>
                <w:highlight w:val="none"/>
                <w:u w:val="none"/>
                <w:lang w:val="en-US" w:eastAsia="zh-CN" w:bidi="ar"/>
              </w:rPr>
              <w:t>+330处；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下坡急弯</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10</w:t>
            </w:r>
            <w:r>
              <w:rPr>
                <w:rFonts w:hint="eastAsia" w:ascii="宋体" w:hAnsi="宋体" w:eastAsia="宋体" w:cs="宋体"/>
                <w:i w:val="0"/>
                <w:iCs w:val="0"/>
                <w:color w:val="auto"/>
                <w:kern w:val="0"/>
                <w:sz w:val="22"/>
                <w:szCs w:val="22"/>
                <w:highlight w:val="none"/>
                <w:u w:val="none"/>
                <w:lang w:val="en-US" w:eastAsia="zh-CN" w:bidi="ar"/>
              </w:rPr>
              <w:t>+890、K</w:t>
            </w:r>
            <w:r>
              <w:rPr>
                <w:rFonts w:hint="eastAsia" w:ascii="宋体" w:hAnsi="宋体" w:eastAsia="宋体" w:cs="宋体"/>
                <w:i w:val="0"/>
                <w:iCs w:val="0"/>
                <w:color w:val="auto"/>
                <w:kern w:val="0"/>
                <w:sz w:val="22"/>
                <w:szCs w:val="22"/>
                <w:highlight w:val="none"/>
                <w:u w:val="none"/>
                <w:vertAlign w:val="subscript"/>
                <w:lang w:val="en-US" w:eastAsia="zh-CN" w:bidi="ar"/>
              </w:rPr>
              <w:t>13</w:t>
            </w:r>
            <w:r>
              <w:rPr>
                <w:rFonts w:hint="eastAsia" w:ascii="宋体" w:hAnsi="宋体" w:eastAsia="宋体" w:cs="宋体"/>
                <w:i w:val="0"/>
                <w:iCs w:val="0"/>
                <w:color w:val="auto"/>
                <w:kern w:val="0"/>
                <w:sz w:val="22"/>
                <w:szCs w:val="22"/>
                <w:highlight w:val="none"/>
                <w:u w:val="none"/>
                <w:lang w:val="en-US" w:eastAsia="zh-CN" w:bidi="ar"/>
              </w:rPr>
              <w:t>+900、K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+240处。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易塌方路段</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72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畅</w:t>
            </w:r>
            <w:r>
              <w:rPr>
                <w:rFonts w:hint="eastAsia" w:ascii="宋体" w:hAnsi="宋体" w:cs="宋体"/>
                <w:i w:val="0"/>
                <w:iCs w:val="0"/>
                <w:color w:val="auto"/>
                <w:kern w:val="0"/>
                <w:sz w:val="22"/>
                <w:szCs w:val="22"/>
                <w:highlight w:val="none"/>
                <w:u w:val="none"/>
                <w:lang w:val="en-US" w:eastAsia="zh-CN" w:bidi="ar"/>
              </w:rPr>
              <w:t>好</w:t>
            </w:r>
          </w:p>
        </w:tc>
        <w:tc>
          <w:tcPr>
            <w:tcW w:w="119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畅保线</w:t>
            </w: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w:t>
            </w:r>
            <w:r>
              <w:rPr>
                <w:rFonts w:hint="eastAsia" w:ascii="宋体" w:hAnsi="宋体" w:eastAsia="宋体" w:cs="宋体"/>
                <w:i w:val="0"/>
                <w:iCs w:val="0"/>
                <w:color w:val="auto"/>
                <w:kern w:val="0"/>
                <w:sz w:val="22"/>
                <w:szCs w:val="22"/>
                <w:highlight w:val="none"/>
                <w:u w:val="none"/>
                <w:lang w:val="en-US" w:eastAsia="zh-CN" w:bidi="ar"/>
              </w:rPr>
              <w:t>+300-K</w:t>
            </w:r>
            <w:r>
              <w:rPr>
                <w:rFonts w:hint="eastAsia" w:ascii="宋体" w:hAnsi="宋体" w:eastAsia="宋体" w:cs="宋体"/>
                <w:i w:val="0"/>
                <w:iCs w:val="0"/>
                <w:color w:val="auto"/>
                <w:kern w:val="0"/>
                <w:sz w:val="22"/>
                <w:szCs w:val="22"/>
                <w:highlight w:val="none"/>
                <w:u w:val="none"/>
                <w:vertAlign w:val="subscript"/>
                <w:lang w:val="en-US" w:eastAsia="zh-CN" w:bidi="ar"/>
              </w:rPr>
              <w:t>7</w:t>
            </w:r>
            <w:r>
              <w:rPr>
                <w:rFonts w:hint="eastAsia" w:ascii="宋体" w:hAnsi="宋体" w:eastAsia="宋体" w:cs="宋体"/>
                <w:i w:val="0"/>
                <w:iCs w:val="0"/>
                <w:color w:val="auto"/>
                <w:kern w:val="0"/>
                <w:sz w:val="22"/>
                <w:szCs w:val="22"/>
                <w:highlight w:val="none"/>
                <w:u w:val="none"/>
                <w:lang w:val="en-US" w:eastAsia="zh-CN" w:bidi="ar"/>
              </w:rPr>
              <w:t>+000处；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上长坡</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7</w:t>
            </w:r>
            <w:r>
              <w:rPr>
                <w:rFonts w:hint="eastAsia" w:ascii="宋体" w:hAnsi="宋体" w:eastAsia="宋体" w:cs="宋体"/>
                <w:i w:val="0"/>
                <w:iCs w:val="0"/>
                <w:color w:val="auto"/>
                <w:kern w:val="0"/>
                <w:sz w:val="22"/>
                <w:szCs w:val="22"/>
                <w:highlight w:val="none"/>
                <w:u w:val="none"/>
                <w:lang w:val="en-US" w:eastAsia="zh-CN" w:bidi="ar"/>
              </w:rPr>
              <w:t>+400-K</w:t>
            </w:r>
            <w:r>
              <w:rPr>
                <w:rFonts w:hint="eastAsia" w:ascii="宋体" w:hAnsi="宋体" w:eastAsia="宋体" w:cs="宋体"/>
                <w:i w:val="0"/>
                <w:iCs w:val="0"/>
                <w:color w:val="auto"/>
                <w:kern w:val="0"/>
                <w:sz w:val="22"/>
                <w:szCs w:val="22"/>
                <w:highlight w:val="none"/>
                <w:u w:val="none"/>
                <w:vertAlign w:val="subscript"/>
                <w:lang w:val="en-US" w:eastAsia="zh-CN" w:bidi="ar"/>
              </w:rPr>
              <w:t>9</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11</w:t>
            </w:r>
            <w:r>
              <w:rPr>
                <w:rFonts w:hint="eastAsia" w:ascii="宋体" w:hAnsi="宋体" w:eastAsia="宋体" w:cs="宋体"/>
                <w:i w:val="0"/>
                <w:iCs w:val="0"/>
                <w:color w:val="auto"/>
                <w:kern w:val="0"/>
                <w:sz w:val="22"/>
                <w:szCs w:val="22"/>
                <w:highlight w:val="none"/>
                <w:u w:val="none"/>
                <w:lang w:val="en-US" w:eastAsia="zh-CN" w:bidi="ar"/>
              </w:rPr>
              <w:t>+800-K</w:t>
            </w:r>
            <w:r>
              <w:rPr>
                <w:rFonts w:hint="eastAsia" w:ascii="宋体" w:hAnsi="宋体" w:eastAsia="宋体" w:cs="宋体"/>
                <w:i w:val="0"/>
                <w:iCs w:val="0"/>
                <w:color w:val="auto"/>
                <w:kern w:val="0"/>
                <w:sz w:val="22"/>
                <w:szCs w:val="22"/>
                <w:highlight w:val="none"/>
                <w:u w:val="none"/>
                <w:vertAlign w:val="subscript"/>
                <w:lang w:val="en-US" w:eastAsia="zh-CN" w:bidi="ar"/>
              </w:rPr>
              <w:t>13</w:t>
            </w:r>
            <w:r>
              <w:rPr>
                <w:rFonts w:hint="eastAsia" w:ascii="宋体" w:hAnsi="宋体" w:eastAsia="宋体" w:cs="宋体"/>
                <w:i w:val="0"/>
                <w:iCs w:val="0"/>
                <w:color w:val="auto"/>
                <w:kern w:val="0"/>
                <w:sz w:val="22"/>
                <w:szCs w:val="22"/>
                <w:highlight w:val="none"/>
                <w:u w:val="none"/>
                <w:lang w:val="en-US" w:eastAsia="zh-CN" w:bidi="ar"/>
              </w:rPr>
              <w:t>+000处；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下长坡</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34"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3</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4</w:t>
            </w:r>
            <w:r>
              <w:rPr>
                <w:rFonts w:hint="eastAsia" w:ascii="宋体" w:hAnsi="宋体" w:eastAsia="宋体" w:cs="宋体"/>
                <w:i w:val="0"/>
                <w:iCs w:val="0"/>
                <w:color w:val="auto"/>
                <w:kern w:val="0"/>
                <w:sz w:val="22"/>
                <w:szCs w:val="22"/>
                <w:highlight w:val="none"/>
                <w:u w:val="none"/>
                <w:lang w:val="en-US" w:eastAsia="zh-CN" w:bidi="ar"/>
              </w:rPr>
              <w:t>+000、K</w:t>
            </w:r>
            <w:r>
              <w:rPr>
                <w:rFonts w:hint="eastAsia" w:ascii="宋体" w:hAnsi="宋体" w:eastAsia="宋体" w:cs="宋体"/>
                <w:i w:val="0"/>
                <w:iCs w:val="0"/>
                <w:color w:val="auto"/>
                <w:kern w:val="0"/>
                <w:sz w:val="22"/>
                <w:szCs w:val="22"/>
                <w:highlight w:val="none"/>
                <w:u w:val="none"/>
                <w:vertAlign w:val="subscript"/>
                <w:lang w:val="en-US" w:eastAsia="zh-CN" w:bidi="ar"/>
              </w:rPr>
              <w:t>6</w:t>
            </w:r>
            <w:r>
              <w:rPr>
                <w:rFonts w:hint="eastAsia" w:ascii="宋体" w:hAnsi="宋体" w:eastAsia="宋体" w:cs="宋体"/>
                <w:i w:val="0"/>
                <w:iCs w:val="0"/>
                <w:color w:val="auto"/>
                <w:kern w:val="0"/>
                <w:sz w:val="22"/>
                <w:szCs w:val="22"/>
                <w:highlight w:val="none"/>
                <w:u w:val="none"/>
                <w:lang w:val="en-US" w:eastAsia="zh-CN" w:bidi="ar"/>
              </w:rPr>
              <w:t>+900、K</w:t>
            </w:r>
            <w:r>
              <w:rPr>
                <w:rFonts w:hint="eastAsia" w:ascii="宋体" w:hAnsi="宋体" w:eastAsia="宋体" w:cs="宋体"/>
                <w:i w:val="0"/>
                <w:iCs w:val="0"/>
                <w:color w:val="auto"/>
                <w:kern w:val="0"/>
                <w:sz w:val="22"/>
                <w:szCs w:val="22"/>
                <w:highlight w:val="none"/>
                <w:u w:val="none"/>
                <w:vertAlign w:val="subscript"/>
                <w:lang w:val="en-US" w:eastAsia="zh-CN" w:bidi="ar"/>
              </w:rPr>
              <w:t>7</w:t>
            </w:r>
            <w:r>
              <w:rPr>
                <w:rFonts w:hint="eastAsia" w:ascii="宋体" w:hAnsi="宋体" w:eastAsia="宋体" w:cs="宋体"/>
                <w:i w:val="0"/>
                <w:iCs w:val="0"/>
                <w:color w:val="auto"/>
                <w:kern w:val="0"/>
                <w:sz w:val="22"/>
                <w:szCs w:val="22"/>
                <w:highlight w:val="none"/>
                <w:u w:val="none"/>
                <w:lang w:val="en-US" w:eastAsia="zh-CN" w:bidi="ar"/>
              </w:rPr>
              <w:t>+700、K</w:t>
            </w:r>
            <w:r>
              <w:rPr>
                <w:rFonts w:hint="eastAsia" w:ascii="宋体" w:hAnsi="宋体" w:eastAsia="宋体" w:cs="宋体"/>
                <w:i w:val="0"/>
                <w:iCs w:val="0"/>
                <w:color w:val="auto"/>
                <w:kern w:val="0"/>
                <w:sz w:val="22"/>
                <w:szCs w:val="22"/>
                <w:highlight w:val="none"/>
                <w:u w:val="none"/>
                <w:vertAlign w:val="subscript"/>
                <w:lang w:val="en-US" w:eastAsia="zh-CN" w:bidi="ar"/>
              </w:rPr>
              <w:t>8</w:t>
            </w:r>
            <w:r>
              <w:rPr>
                <w:rFonts w:hint="eastAsia" w:ascii="宋体" w:hAnsi="宋体" w:eastAsia="宋体" w:cs="宋体"/>
                <w:i w:val="0"/>
                <w:iCs w:val="0"/>
                <w:color w:val="auto"/>
                <w:kern w:val="0"/>
                <w:sz w:val="22"/>
                <w:szCs w:val="22"/>
                <w:highlight w:val="none"/>
                <w:u w:val="none"/>
                <w:lang w:val="en-US" w:eastAsia="zh-CN" w:bidi="ar"/>
              </w:rPr>
              <w:t>+100、K</w:t>
            </w:r>
            <w:r>
              <w:rPr>
                <w:rFonts w:hint="eastAsia" w:ascii="宋体" w:hAnsi="宋体" w:eastAsia="宋体" w:cs="宋体"/>
                <w:i w:val="0"/>
                <w:iCs w:val="0"/>
                <w:color w:val="auto"/>
                <w:kern w:val="0"/>
                <w:sz w:val="22"/>
                <w:szCs w:val="22"/>
                <w:highlight w:val="none"/>
                <w:u w:val="none"/>
                <w:vertAlign w:val="subscript"/>
                <w:lang w:val="en-US" w:eastAsia="zh-CN" w:bidi="ar"/>
              </w:rPr>
              <w:t>8</w:t>
            </w:r>
            <w:r>
              <w:rPr>
                <w:rFonts w:hint="eastAsia" w:ascii="宋体" w:hAnsi="宋体" w:eastAsia="宋体" w:cs="宋体"/>
                <w:i w:val="0"/>
                <w:iCs w:val="0"/>
                <w:color w:val="auto"/>
                <w:kern w:val="0"/>
                <w:sz w:val="22"/>
                <w:szCs w:val="22"/>
                <w:highlight w:val="none"/>
                <w:u w:val="none"/>
                <w:lang w:val="en-US" w:eastAsia="zh-CN" w:bidi="ar"/>
              </w:rPr>
              <w:t>+800、K</w:t>
            </w:r>
            <w:r>
              <w:rPr>
                <w:rFonts w:hint="eastAsia" w:ascii="宋体" w:hAnsi="宋体" w:eastAsia="宋体" w:cs="宋体"/>
                <w:i w:val="0"/>
                <w:iCs w:val="0"/>
                <w:color w:val="auto"/>
                <w:kern w:val="0"/>
                <w:sz w:val="22"/>
                <w:szCs w:val="22"/>
                <w:highlight w:val="none"/>
                <w:u w:val="none"/>
                <w:vertAlign w:val="subscript"/>
                <w:lang w:val="en-US" w:eastAsia="zh-CN" w:bidi="ar"/>
              </w:rPr>
              <w:t>14</w:t>
            </w:r>
            <w:r>
              <w:rPr>
                <w:rFonts w:hint="eastAsia" w:ascii="宋体" w:hAnsi="宋体" w:eastAsia="宋体" w:cs="宋体"/>
                <w:i w:val="0"/>
                <w:iCs w:val="0"/>
                <w:color w:val="auto"/>
                <w:kern w:val="0"/>
                <w:sz w:val="22"/>
                <w:szCs w:val="22"/>
                <w:highlight w:val="none"/>
                <w:u w:val="none"/>
                <w:lang w:val="en-US" w:eastAsia="zh-CN" w:bidi="ar"/>
              </w:rPr>
              <w:t>+000处；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易塌方路段</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42"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w:t>
            </w:r>
            <w:r>
              <w:rPr>
                <w:rFonts w:hint="eastAsia" w:ascii="宋体" w:hAnsi="宋体" w:eastAsia="宋体" w:cs="宋体"/>
                <w:i w:val="0"/>
                <w:iCs w:val="0"/>
                <w:color w:val="auto"/>
                <w:kern w:val="0"/>
                <w:sz w:val="22"/>
                <w:szCs w:val="22"/>
                <w:highlight w:val="none"/>
                <w:u w:val="none"/>
                <w:vertAlign w:val="subscript"/>
                <w:lang w:val="en-US" w:eastAsia="zh-CN" w:bidi="ar"/>
              </w:rPr>
              <w:t>1</w:t>
            </w:r>
            <w:r>
              <w:rPr>
                <w:rFonts w:hint="eastAsia" w:ascii="宋体" w:hAnsi="宋体" w:eastAsia="宋体" w:cs="宋体"/>
                <w:i w:val="0"/>
                <w:iCs w:val="0"/>
                <w:color w:val="auto"/>
                <w:kern w:val="0"/>
                <w:sz w:val="22"/>
                <w:szCs w:val="22"/>
                <w:highlight w:val="none"/>
                <w:u w:val="none"/>
                <w:lang w:val="en-US" w:eastAsia="zh-CN" w:bidi="ar"/>
              </w:rPr>
              <w:t>+500-700、K</w:t>
            </w:r>
            <w:r>
              <w:rPr>
                <w:rFonts w:hint="eastAsia" w:ascii="宋体" w:hAnsi="宋体" w:eastAsia="宋体" w:cs="宋体"/>
                <w:i w:val="0"/>
                <w:iCs w:val="0"/>
                <w:color w:val="auto"/>
                <w:kern w:val="0"/>
                <w:sz w:val="22"/>
                <w:szCs w:val="22"/>
                <w:highlight w:val="none"/>
                <w:u w:val="none"/>
                <w:vertAlign w:val="subscript"/>
                <w:lang w:val="en-US" w:eastAsia="zh-CN" w:bidi="ar"/>
              </w:rPr>
              <w:t>2</w:t>
            </w:r>
            <w:r>
              <w:rPr>
                <w:rFonts w:hint="eastAsia" w:ascii="宋体" w:hAnsi="宋体" w:eastAsia="宋体" w:cs="宋体"/>
                <w:i w:val="0"/>
                <w:iCs w:val="0"/>
                <w:color w:val="auto"/>
                <w:kern w:val="0"/>
                <w:sz w:val="22"/>
                <w:szCs w:val="22"/>
                <w:highlight w:val="none"/>
                <w:u w:val="none"/>
                <w:lang w:val="en-US" w:eastAsia="zh-CN" w:bidi="ar"/>
              </w:rPr>
              <w:t>+200-900、K</w:t>
            </w:r>
            <w:r>
              <w:rPr>
                <w:rFonts w:hint="eastAsia" w:ascii="宋体" w:hAnsi="宋体" w:eastAsia="宋体" w:cs="宋体"/>
                <w:i w:val="0"/>
                <w:iCs w:val="0"/>
                <w:color w:val="auto"/>
                <w:kern w:val="0"/>
                <w:sz w:val="22"/>
                <w:szCs w:val="22"/>
                <w:highlight w:val="none"/>
                <w:u w:val="none"/>
                <w:vertAlign w:val="subscript"/>
                <w:lang w:val="en-US" w:eastAsia="zh-CN" w:bidi="ar"/>
              </w:rPr>
              <w:t>3</w:t>
            </w:r>
            <w:r>
              <w:rPr>
                <w:rFonts w:hint="eastAsia" w:ascii="宋体" w:hAnsi="宋体" w:eastAsia="宋体" w:cs="宋体"/>
                <w:i w:val="0"/>
                <w:iCs w:val="0"/>
                <w:color w:val="auto"/>
                <w:kern w:val="0"/>
                <w:sz w:val="22"/>
                <w:szCs w:val="22"/>
                <w:highlight w:val="none"/>
                <w:u w:val="none"/>
                <w:lang w:val="en-US" w:eastAsia="zh-CN" w:bidi="ar"/>
              </w:rPr>
              <w:t>+000-100、K</w:t>
            </w:r>
            <w:r>
              <w:rPr>
                <w:rFonts w:hint="eastAsia" w:ascii="宋体" w:hAnsi="宋体" w:eastAsia="宋体" w:cs="宋体"/>
                <w:i w:val="0"/>
                <w:iCs w:val="0"/>
                <w:color w:val="auto"/>
                <w:kern w:val="0"/>
                <w:sz w:val="22"/>
                <w:szCs w:val="22"/>
                <w:highlight w:val="none"/>
                <w:u w:val="none"/>
                <w:vertAlign w:val="subscript"/>
                <w:lang w:val="en-US" w:eastAsia="zh-CN" w:bidi="ar"/>
              </w:rPr>
              <w:t>4</w:t>
            </w:r>
            <w:r>
              <w:rPr>
                <w:rFonts w:hint="eastAsia" w:ascii="宋体" w:hAnsi="宋体" w:eastAsia="宋体" w:cs="宋体"/>
                <w:i w:val="0"/>
                <w:iCs w:val="0"/>
                <w:color w:val="auto"/>
                <w:kern w:val="0"/>
                <w:sz w:val="22"/>
                <w:szCs w:val="22"/>
                <w:highlight w:val="none"/>
                <w:u w:val="none"/>
                <w:lang w:val="en-US" w:eastAsia="zh-CN" w:bidi="ar"/>
              </w:rPr>
              <w:t>+500、K</w:t>
            </w:r>
            <w:r>
              <w:rPr>
                <w:rFonts w:hint="eastAsia" w:ascii="宋体" w:hAnsi="宋体" w:eastAsia="宋体" w:cs="宋体"/>
                <w:i w:val="0"/>
                <w:iCs w:val="0"/>
                <w:color w:val="auto"/>
                <w:kern w:val="0"/>
                <w:sz w:val="22"/>
                <w:szCs w:val="22"/>
                <w:highlight w:val="none"/>
                <w:u w:val="none"/>
                <w:vertAlign w:val="subscript"/>
                <w:lang w:val="en-US" w:eastAsia="zh-CN" w:bidi="ar"/>
              </w:rPr>
              <w:t>5</w:t>
            </w:r>
            <w:r>
              <w:rPr>
                <w:rFonts w:hint="eastAsia" w:ascii="宋体" w:hAnsi="宋体" w:eastAsia="宋体" w:cs="宋体"/>
                <w:i w:val="0"/>
                <w:iCs w:val="0"/>
                <w:color w:val="auto"/>
                <w:kern w:val="0"/>
                <w:sz w:val="22"/>
                <w:szCs w:val="22"/>
                <w:highlight w:val="none"/>
                <w:u w:val="none"/>
                <w:lang w:val="en-US" w:eastAsia="zh-CN" w:bidi="ar"/>
              </w:rPr>
              <w:t>+100、K</w:t>
            </w:r>
            <w:r>
              <w:rPr>
                <w:rFonts w:hint="eastAsia" w:ascii="宋体" w:hAnsi="宋体" w:eastAsia="宋体" w:cs="宋体"/>
                <w:i w:val="0"/>
                <w:iCs w:val="0"/>
                <w:color w:val="auto"/>
                <w:kern w:val="0"/>
                <w:sz w:val="22"/>
                <w:szCs w:val="22"/>
                <w:highlight w:val="none"/>
                <w:u w:val="none"/>
                <w:vertAlign w:val="subscript"/>
                <w:lang w:val="en-US" w:eastAsia="zh-CN" w:bidi="ar"/>
              </w:rPr>
              <w:t>6</w:t>
            </w:r>
            <w:r>
              <w:rPr>
                <w:rFonts w:hint="eastAsia" w:ascii="宋体" w:hAnsi="宋体" w:eastAsia="宋体" w:cs="宋体"/>
                <w:i w:val="0"/>
                <w:iCs w:val="0"/>
                <w:color w:val="auto"/>
                <w:kern w:val="0"/>
                <w:sz w:val="22"/>
                <w:szCs w:val="22"/>
                <w:highlight w:val="none"/>
                <w:u w:val="none"/>
                <w:lang w:val="en-US" w:eastAsia="zh-CN" w:bidi="ar"/>
              </w:rPr>
              <w:t>+400、K</w:t>
            </w:r>
            <w:r>
              <w:rPr>
                <w:rFonts w:hint="eastAsia" w:ascii="宋体" w:hAnsi="宋体" w:eastAsia="宋体" w:cs="宋体"/>
                <w:i w:val="0"/>
                <w:iCs w:val="0"/>
                <w:color w:val="auto"/>
                <w:kern w:val="0"/>
                <w:sz w:val="22"/>
                <w:szCs w:val="22"/>
                <w:highlight w:val="none"/>
                <w:u w:val="none"/>
                <w:vertAlign w:val="subscript"/>
                <w:lang w:val="en-US" w:eastAsia="zh-CN" w:bidi="ar"/>
              </w:rPr>
              <w:t>7</w:t>
            </w:r>
            <w:r>
              <w:rPr>
                <w:rFonts w:hint="eastAsia" w:ascii="宋体" w:hAnsi="宋体" w:eastAsia="宋体" w:cs="宋体"/>
                <w:i w:val="0"/>
                <w:iCs w:val="0"/>
                <w:color w:val="auto"/>
                <w:kern w:val="0"/>
                <w:sz w:val="22"/>
                <w:szCs w:val="22"/>
                <w:highlight w:val="none"/>
                <w:u w:val="none"/>
                <w:lang w:val="en-US" w:eastAsia="zh-CN" w:bidi="ar"/>
              </w:rPr>
              <w:t>+800、K</w:t>
            </w:r>
            <w:r>
              <w:rPr>
                <w:rFonts w:hint="eastAsia" w:ascii="宋体" w:hAnsi="宋体" w:eastAsia="宋体" w:cs="宋体"/>
                <w:i w:val="0"/>
                <w:iCs w:val="0"/>
                <w:color w:val="auto"/>
                <w:kern w:val="0"/>
                <w:sz w:val="22"/>
                <w:szCs w:val="22"/>
                <w:highlight w:val="none"/>
                <w:u w:val="none"/>
                <w:vertAlign w:val="subscript"/>
                <w:lang w:val="en-US" w:eastAsia="zh-CN" w:bidi="ar"/>
              </w:rPr>
              <w:t>8</w:t>
            </w:r>
            <w:r>
              <w:rPr>
                <w:rFonts w:hint="eastAsia" w:ascii="宋体" w:hAnsi="宋体" w:eastAsia="宋体" w:cs="宋体"/>
                <w:i w:val="0"/>
                <w:iCs w:val="0"/>
                <w:color w:val="auto"/>
                <w:kern w:val="0"/>
                <w:sz w:val="22"/>
                <w:szCs w:val="22"/>
                <w:highlight w:val="none"/>
                <w:u w:val="none"/>
                <w:lang w:val="en-US" w:eastAsia="zh-CN" w:bidi="ar"/>
              </w:rPr>
              <w:t>+400-800、K</w:t>
            </w:r>
            <w:r>
              <w:rPr>
                <w:rFonts w:hint="eastAsia" w:ascii="宋体" w:hAnsi="宋体" w:eastAsia="宋体" w:cs="宋体"/>
                <w:i w:val="0"/>
                <w:iCs w:val="0"/>
                <w:color w:val="auto"/>
                <w:kern w:val="0"/>
                <w:sz w:val="22"/>
                <w:szCs w:val="22"/>
                <w:highlight w:val="none"/>
                <w:u w:val="none"/>
                <w:vertAlign w:val="subscript"/>
                <w:lang w:val="en-US" w:eastAsia="zh-CN" w:bidi="ar"/>
              </w:rPr>
              <w:t>9</w:t>
            </w:r>
            <w:r>
              <w:rPr>
                <w:rFonts w:hint="eastAsia" w:ascii="宋体" w:hAnsi="宋体" w:eastAsia="宋体" w:cs="宋体"/>
                <w:i w:val="0"/>
                <w:iCs w:val="0"/>
                <w:color w:val="auto"/>
                <w:kern w:val="0"/>
                <w:sz w:val="22"/>
                <w:szCs w:val="22"/>
                <w:highlight w:val="none"/>
                <w:u w:val="none"/>
                <w:lang w:val="en-US" w:eastAsia="zh-CN" w:bidi="ar"/>
              </w:rPr>
              <w:t>+050、K</w:t>
            </w:r>
            <w:r>
              <w:rPr>
                <w:rFonts w:hint="eastAsia" w:ascii="宋体" w:hAnsi="宋体" w:eastAsia="宋体" w:cs="宋体"/>
                <w:i w:val="0"/>
                <w:iCs w:val="0"/>
                <w:color w:val="auto"/>
                <w:kern w:val="0"/>
                <w:sz w:val="22"/>
                <w:szCs w:val="22"/>
                <w:highlight w:val="none"/>
                <w:u w:val="none"/>
                <w:vertAlign w:val="subscript"/>
                <w:lang w:val="en-US" w:eastAsia="zh-CN" w:bidi="ar"/>
              </w:rPr>
              <w:t>11</w:t>
            </w:r>
            <w:r>
              <w:rPr>
                <w:rFonts w:hint="eastAsia" w:ascii="宋体" w:hAnsi="宋体" w:eastAsia="宋体" w:cs="宋体"/>
                <w:i w:val="0"/>
                <w:iCs w:val="0"/>
                <w:color w:val="auto"/>
                <w:kern w:val="0"/>
                <w:sz w:val="22"/>
                <w:szCs w:val="22"/>
                <w:highlight w:val="none"/>
                <w:u w:val="none"/>
                <w:lang w:val="en-US" w:eastAsia="zh-CN" w:bidi="ar"/>
              </w:rPr>
              <w:t>+300、K</w:t>
            </w:r>
            <w:r>
              <w:rPr>
                <w:rFonts w:hint="eastAsia" w:ascii="宋体" w:hAnsi="宋体" w:eastAsia="宋体" w:cs="宋体"/>
                <w:i w:val="0"/>
                <w:iCs w:val="0"/>
                <w:color w:val="auto"/>
                <w:kern w:val="0"/>
                <w:sz w:val="22"/>
                <w:szCs w:val="22"/>
                <w:highlight w:val="none"/>
                <w:u w:val="none"/>
                <w:vertAlign w:val="subscript"/>
                <w:lang w:val="en-US" w:eastAsia="zh-CN" w:bidi="ar"/>
              </w:rPr>
              <w:t>12</w:t>
            </w:r>
            <w:r>
              <w:rPr>
                <w:rFonts w:hint="eastAsia" w:ascii="宋体" w:hAnsi="宋体" w:eastAsia="宋体" w:cs="宋体"/>
                <w:i w:val="0"/>
                <w:iCs w:val="0"/>
                <w:color w:val="auto"/>
                <w:kern w:val="0"/>
                <w:sz w:val="22"/>
                <w:szCs w:val="22"/>
                <w:highlight w:val="none"/>
                <w:u w:val="none"/>
                <w:lang w:val="en-US" w:eastAsia="zh-CN" w:bidi="ar"/>
              </w:rPr>
              <w:t>+400处</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急转弯</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725"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国道</w:t>
            </w:r>
          </w:p>
        </w:tc>
        <w:tc>
          <w:tcPr>
            <w:tcW w:w="1192"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G224         海榆西线</w:t>
            </w: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K195+500</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弯道、下坡，桥窄</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K195+900；K196；</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急转弯、下坡</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721" w:hRule="atLeast"/>
          <w:jc w:val="center"/>
        </w:trPr>
        <w:tc>
          <w:tcPr>
            <w:tcW w:w="56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5"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2" w:type="dxa"/>
            <w:vMerge w:val="continue"/>
            <w:tcBorders>
              <w:tl2br w:val="nil"/>
              <w:tr2bl w:val="nil"/>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34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K205+600；K205+700；</w:t>
            </w:r>
          </w:p>
        </w:tc>
        <w:tc>
          <w:tcPr>
            <w:tcW w:w="213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大弯道、下坡</w:t>
            </w:r>
          </w:p>
        </w:tc>
        <w:tc>
          <w:tcPr>
            <w:tcW w:w="1443" w:type="dxa"/>
            <w:tcBorders>
              <w:tl2br w:val="nil"/>
              <w:tr2bl w:val="nil"/>
            </w:tcBorders>
            <w:noWrap w:val="0"/>
            <w:vAlign w:val="center"/>
          </w:tcPr>
          <w:p>
            <w:pPr>
              <w:rPr>
                <w:rFonts w:hint="eastAsia" w:ascii="宋体" w:hAnsi="宋体" w:eastAsia="宋体" w:cs="宋体"/>
                <w:i w:val="0"/>
                <w:iCs w:val="0"/>
                <w:color w:val="auto"/>
                <w:sz w:val="22"/>
                <w:szCs w:val="22"/>
                <w:highlight w:val="none"/>
                <w:u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898" w:hRule="atLeast"/>
          <w:jc w:val="center"/>
        </w:trPr>
        <w:tc>
          <w:tcPr>
            <w:tcW w:w="9400" w:type="dxa"/>
            <w:gridSpan w:val="6"/>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备注：1.公路性质填：高速路、国道、省道、</w:t>
            </w:r>
            <w:r>
              <w:rPr>
                <w:rFonts w:hint="eastAsia" w:ascii="宋体" w:hAnsi="宋体" w:cs="宋体"/>
                <w:i w:val="0"/>
                <w:iCs w:val="0"/>
                <w:color w:val="auto"/>
                <w:kern w:val="0"/>
                <w:sz w:val="22"/>
                <w:szCs w:val="22"/>
                <w:highlight w:val="none"/>
                <w:u w:val="none"/>
                <w:lang w:val="en-US" w:eastAsia="zh-CN" w:bidi="ar"/>
              </w:rPr>
              <w:t>县道、乡</w:t>
            </w:r>
            <w:r>
              <w:rPr>
                <w:rFonts w:hint="eastAsia" w:ascii="宋体" w:hAnsi="宋体" w:eastAsia="宋体" w:cs="宋体"/>
                <w:i w:val="0"/>
                <w:iCs w:val="0"/>
                <w:color w:val="auto"/>
                <w:kern w:val="0"/>
                <w:sz w:val="22"/>
                <w:szCs w:val="22"/>
                <w:highlight w:val="none"/>
                <w:u w:val="none"/>
                <w:lang w:val="en-US" w:eastAsia="zh-CN" w:bidi="ar"/>
              </w:rPr>
              <w:t>道等；2.具体位置填写：如322国道7公里加300米处；3.发生灾害名称</w:t>
            </w:r>
            <w:r>
              <w:rPr>
                <w:rFonts w:hint="eastAsia" w:ascii="宋体" w:hAnsi="宋体" w:cs="宋体"/>
                <w:i w:val="0"/>
                <w:iCs w:val="0"/>
                <w:color w:val="auto"/>
                <w:kern w:val="0"/>
                <w:sz w:val="22"/>
                <w:szCs w:val="22"/>
                <w:highlight w:val="none"/>
                <w:u w:val="none"/>
                <w:lang w:val="en-US" w:eastAsia="zh-CN" w:bidi="ar"/>
              </w:rPr>
              <w:t>。</w:t>
            </w:r>
          </w:p>
        </w:tc>
      </w:tr>
    </w:tbl>
    <w:p>
      <w:pPr>
        <w:bidi w:val="0"/>
        <w:ind w:firstLine="640" w:firstLineChars="200"/>
        <w:rPr>
          <w:rFonts w:hint="eastAsia" w:ascii="黑体" w:hAnsi="黑体" w:eastAsia="黑体" w:cs="黑体"/>
          <w:sz w:val="32"/>
          <w:szCs w:val="32"/>
          <w:highlight w:val="none"/>
          <w:lang w:val="en-US" w:eastAsia="zh-CN"/>
        </w:rPr>
      </w:pPr>
      <w:bookmarkStart w:id="1092" w:name="_Toc3974"/>
    </w:p>
    <w:p>
      <w:pPr>
        <w:bidi w:val="0"/>
        <w:ind w:firstLine="0" w:firstLineChars="0"/>
        <w:rPr>
          <w:rFonts w:hint="default"/>
          <w:highlight w:val="none"/>
          <w:lang w:val="en-US" w:eastAsia="zh-CN"/>
        </w:rPr>
      </w:pPr>
      <w:r>
        <w:rPr>
          <w:rFonts w:hint="eastAsia" w:ascii="黑体" w:hAnsi="黑体" w:eastAsia="黑体" w:cs="黑体"/>
          <w:sz w:val="32"/>
          <w:szCs w:val="32"/>
          <w:highlight w:val="none"/>
          <w:lang w:val="en-US" w:eastAsia="zh-CN"/>
        </w:rPr>
        <w:t xml:space="preserve">  9.12交通运输突发事件信息报告和处理办法</w:t>
      </w:r>
      <w:bookmarkEnd w:id="1092"/>
    </w:p>
    <w:p>
      <w:pPr>
        <w:bidi w:val="0"/>
        <w:adjustRightInd w:val="0"/>
        <w:snapToGrid w:val="0"/>
        <w:spacing w:line="540" w:lineRule="exact"/>
        <w:jc w:val="center"/>
        <w:rPr>
          <w:rFonts w:hint="eastAsia" w:ascii="仿宋_GB2312" w:hAnsi="仿宋_GB2312" w:eastAsia="仿宋_GB2312" w:cs="仿宋_GB2312"/>
          <w:sz w:val="32"/>
          <w:szCs w:val="32"/>
          <w:highlight w:val="none"/>
          <w:lang w:val="en-US" w:eastAsia="zh-CN"/>
        </w:rPr>
      </w:pPr>
    </w:p>
    <w:p>
      <w:pPr>
        <w:bidi w:val="0"/>
        <w:adjustRightInd w:val="0"/>
        <w:snapToGrid w:val="0"/>
        <w:spacing w:line="54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交应急发（2010）84号</w:t>
      </w:r>
    </w:p>
    <w:p>
      <w:pPr>
        <w:bidi w:val="0"/>
        <w:adjustRightInd w:val="0"/>
        <w:snapToGrid w:val="0"/>
        <w:spacing w:line="520" w:lineRule="exact"/>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第一条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为及时获取并有效处置交通运输突发事件信息，依据《中华人民共和国突发事件应对法》、《国家突发公共事件总体应急预案》、《国家海上搜救应急预案》、《水路交通突发事件应急预案》、《公路交通突发事件应急预案》等法律和相关规定，制定本办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本办法适用于交通运输行业重大及以上突发事件和险情信息（以下简称信息）的报告及处理工作。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第三条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本办法所称重大及以上交通运输突发事件和险情主要包括：</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（一）交通运输或交通运输建设施工事故，造成或可能造成10人（含）以上死亡或失踪，或5000万元（含）以上直接经济损失；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（二）滚装客船、涉外旅游船、高速客船和载客30人以上的普通客船发生危及船舶及人员生命安全的事故或险情；3000总吨以上中国籍船舶沉没，或外国籍船舶在我国管辖水域沉没的事故；</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（三）交通运输船舶与军用船舶发生碰撞的事件；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（四）载运危险化学品或油类的车、船发生事故，造成或可能造成运输物质泄漏、扩散，导致重大生态环境危害、交通阻塞或威胁人民生命安全；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（五）主要港口和重要以上港口遭受严重损失，一般港口瘫痪或遭受灾难性损失的事件；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（六）重要以上港口或中央管理的交通运输行业企业所属油品码头、危险品仓储堆场发生火灾、爆炸等事件；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（七）长江干线、珠江、京杭运河、黑龙江界河等国家重要干线航道发生严重堵塞或断航，难以在24小时以内恢复通航的事件；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（八）国家干线公路交通毁坏、中断、阻塞或者大量车辆积压、人员滞留，抢修、处置时间预计在12小时以上的事件；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（九）国家干线公路桥梁、隧道以及国、省重点水运设施发生垮塌的事件；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（十）重要客运枢纽运行中断，造成大量旅客滞留，恢复运行及人员疏散预计在24小时以上的事件；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（十一）地铁、城市轨道交通发生事故，或遭受恐怖袭击、自然灾害、人为破坏等，导致一条（含）以上线路停运；</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（十二）交通运输行业从业人员，特别是公共交通、出租客运、线路客运、水路运输等敏感行业集体罢工或罢运，影响社会出行，在24小时内不能平息的事件；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（十三）30名（含）以上交通运输行业从业人员集体到省级及以上国家机关上访的事件；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（十四）在交通运输行业以及交通运输工具上发现世界卫生组织公布的疫情或发生《中华人民共和国传染病法》规定的甲类传染病的事件；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（十五）中国籍船舶或中资方便旗船舶遭遇海盗袭击的事件；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（十六）车站、港口、船舶、经营性客货运车辆遭受恐怖袭击或极端暴力袭击的事件；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（十七）部属院校发生未经许可的学生集会、游行、罢课等群体事件或发生10人（含）以上集体食物中毒等公共卫生事件；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（十八）其他任何对省级及以上行政区域造成或可能造成重大社会、经济影响或发生在敏感区域、敏感时段的交通运输突发事件。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第四条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信息的报告和处理应遵循及时快速、准确高效、分级报告的原则。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第五条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交通运输突发事件信息报告和处理由交通运输部应急办公室（以下简称应急办）管理；中国海上搜救中心总值班室承担信息的接收与报告工作。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第六条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省级交通运输主管部门、部直属单位、中央管理的交通运输行业企业（以下简称交通运输单位）应指定专门机构，实行24小时值班，负责事件信息的核实、报告、跟踪，按职责权限承担或参与相关事件的处理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第七条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本行政区域或辖区内以及本单位发生第三条所列突发事件，交通运输单位应立即将信息以书面或电子邮件形式报部和当地政府，最迟不能晚于2小时。信息报出后必须进行电话确认。</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特殊情况不能在2小时内以书面或电子邮件形式报告的，应先以电话等形式报告，并说明理由，待条件许可时再补充。</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第八条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信息的内容要简明准确、要素完整、重点突出，应包括以下要素：</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（一）事件发生的时间、地点及信息来源；</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（二）事件起因、性质、基本过程、已造成的后果以及影响范围和事件发展趋势；</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（三）已采取的措施、下一步的工作计划；</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（四）信息报送单位、联系人和联系电话等。</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第九条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对于情况不够清楚、要素不齐全的信息，要及时核实补充内容，并将后续情况及时上报。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对突发事件处置的新进展、衍生的新情况要及时续报，特别重大事件的处置情况信息应每日一报。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突发事件处置结束后，要进行终报。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中国海上搜救中心总值班室收到信息后，应立即按规定的程序报分管副部长和部安全总监，并抄报部长（部长外出时，抄报在部主持工作的副部长），同时抄送部应急办和部内相关单位。</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第十一条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根据有关规定或相关领导指示，中国海上搜救中心总值班室应经部应急办审核于事件发生4小时内将交通运输突发事件信息报国务院总值班室。并抄送部应急办和相关业务司局涉及国务院其他部委的突发事件，应抄送相关部委。</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未能在事件发生4小时内报送的，应说明理由。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第十二条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部内相关业务司局负责突发事件的处置工作，应将突发事件处置情况和突发事件的最新进展情况报部领导和部安全总监，抄送部应急办和中国海上搜救中心总值班室。初始信息已上报国务院的应按规定，同时按规定续报国务院总值班室。</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第十三条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部领导对交通运输突发事件处置工作的指示或批示，相关业务司局应及时向有关单位传达。</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第十四条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交通运输单位以“交通运输值班信息”（简称值班信息）的形式将事件信息报部；中国海上搜救中心以“交通运输部值班信息”或“海上搜救值班信息”的形式将事件信息报送国务院总值班室。</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第十五条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报部“值班信息”应通过传真和电子邮件报送；报国务院总值班室“交通运输部值班信息”通过国务院政府信息网报送。如“值班信息”涉密应按机要渠道报送。</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第十六条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对于突发事件情况的统计，按照有关规定执行。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第十七条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部应急办不定期对交通运输单位信息报告情况进行考核，对能够及时准确报告突发事件信息的单位给予通报表扬，对迟报、漏报、谎报或者瞒报的单位予以批评。</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第十八条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对于违反本办法，迟报、谎报、瞒报、漏报信息，或者通报、报送、公布虚假信息，造成不良后果的责任人员，有关部门应追究其相应责任。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第十九条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海上搜救信息的报送工作按现行规定执行；法律、法规和规章另有规定的从其规定。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交通运输单位可参照本办法制订本单位的信息报告和处理规定。</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第二十一条</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本办法自印发之日起施行。</w:t>
      </w: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icrosoft JhengHei">
    <w:panose1 w:val="020B0604030504040204"/>
    <w:charset w:val="88"/>
    <w:family w:val="auto"/>
    <w:pitch w:val="default"/>
    <w:sig w:usb0="00000087" w:usb1="28AF4000" w:usb2="00000016" w:usb3="00000000" w:csb0="00100009" w:csb1="00000000"/>
  </w:font>
  <w:font w:name="Microsoft Sans Serif">
    <w:panose1 w:val="020B0604020202020204"/>
    <w:charset w:val="00"/>
    <w:family w:val="auto"/>
    <w:pitch w:val="default"/>
    <w:sig w:usb0="E1002AFF" w:usb1="C0000002" w:usb2="00000008" w:usb3="00000000" w:csb0="200101FF" w:csb1="2028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0029"/>
    <w:multiLevelType w:val="singleLevel"/>
    <w:tmpl w:val="2CF1002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188D"/>
    <w:rsid w:val="024C1F3B"/>
    <w:rsid w:val="0E947254"/>
    <w:rsid w:val="11E66140"/>
    <w:rsid w:val="13584358"/>
    <w:rsid w:val="16834FFC"/>
    <w:rsid w:val="17956209"/>
    <w:rsid w:val="1AF475C0"/>
    <w:rsid w:val="21AC220D"/>
    <w:rsid w:val="23AC6FB3"/>
    <w:rsid w:val="26A27495"/>
    <w:rsid w:val="28ED34B2"/>
    <w:rsid w:val="29D06C0C"/>
    <w:rsid w:val="2B196890"/>
    <w:rsid w:val="2DF6690B"/>
    <w:rsid w:val="3155666F"/>
    <w:rsid w:val="36176AAE"/>
    <w:rsid w:val="36B85F1A"/>
    <w:rsid w:val="371403A6"/>
    <w:rsid w:val="3974104B"/>
    <w:rsid w:val="3C9334F0"/>
    <w:rsid w:val="47B72819"/>
    <w:rsid w:val="4841366D"/>
    <w:rsid w:val="49D44FED"/>
    <w:rsid w:val="4A1B29C4"/>
    <w:rsid w:val="4F7D3880"/>
    <w:rsid w:val="50126914"/>
    <w:rsid w:val="50A8773E"/>
    <w:rsid w:val="51C94C71"/>
    <w:rsid w:val="54A75C38"/>
    <w:rsid w:val="56D730F2"/>
    <w:rsid w:val="57F675E1"/>
    <w:rsid w:val="58932FE3"/>
    <w:rsid w:val="5E836306"/>
    <w:rsid w:val="5EC77A2C"/>
    <w:rsid w:val="63DC6E84"/>
    <w:rsid w:val="640B55B2"/>
    <w:rsid w:val="6FC82F43"/>
    <w:rsid w:val="72035AD1"/>
    <w:rsid w:val="7576362E"/>
    <w:rsid w:val="794F1FBE"/>
    <w:rsid w:val="7E175280"/>
    <w:rsid w:val="7E47460D"/>
    <w:rsid w:val="7FBA48AF"/>
    <w:rsid w:val="7FCD1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outlineLvl w:val="0"/>
    </w:pPr>
    <w:rPr>
      <w:rFonts w:hint="eastAsia" w:ascii="宋体" w:hAnsi="宋体" w:eastAsia="宋体" w:cs="宋体"/>
      <w:b/>
      <w:kern w:val="44"/>
      <w:sz w:val="54"/>
      <w:szCs w:val="54"/>
      <w:lang w:val="en-US" w:eastAsia="zh-CN" w:bidi="ar"/>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lang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1060" w:firstLine="640"/>
    </w:pPr>
    <w:rPr>
      <w:rFonts w:ascii="仿宋" w:hAnsi="仿宋" w:eastAsia="仿宋" w:cs="仿宋"/>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rPr>
      <w:rFonts w:ascii="Calibri" w:hAnsi="Calibri" w:eastAsia="宋体" w:cs="Times New Roman"/>
      <w:sz w:val="21"/>
      <w:szCs w:val="24"/>
      <w:lang w:bidi="ar-SA"/>
    </w:rPr>
  </w:style>
  <w:style w:type="paragraph" w:styleId="8">
    <w:name w:val="toc 2"/>
    <w:basedOn w:val="1"/>
    <w:next w:val="1"/>
    <w:qFormat/>
    <w:uiPriority w:val="0"/>
    <w:pPr>
      <w:ind w:left="420" w:leftChars="200"/>
    </w:pPr>
    <w:rPr>
      <w:rFonts w:ascii="Calibri" w:hAnsi="Calibri" w:eastAsia="宋体" w:cs="Times New Roman"/>
      <w:sz w:val="21"/>
      <w:szCs w:val="24"/>
      <w:lang w:bidi="ar-SA"/>
    </w:rPr>
  </w:style>
  <w:style w:type="paragraph" w:styleId="9">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customStyle="1" w:styleId="12">
    <w:name w:val="Table Paragraph"/>
    <w:basedOn w:val="1"/>
    <w:unhideWhenUsed/>
    <w:qFormat/>
    <w:uiPriority w:val="1"/>
    <w:rPr>
      <w:rFonts w:hint="default" w:ascii="Calibri" w:hAnsi="Calibri" w:eastAsia="宋体" w:cs="Times New Roman"/>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2023-05-26T09:25:00Z</dcterms:created>
  <dc:creator>wzs</dc:creator>
  <cp:lastModifiedBy>政府办打字员</cp:lastModifiedBy>
  <cp:lastPrinted>2023-05-26T09:50:11Z</cp:lastPrinted>
  <dcterms:modified xsi:type="dcterms:W3CDTF">2023-05-26T10:10:15Z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