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468" w:afterLines="150"/>
        <w:jc w:val="center"/>
        <w:rPr>
          <w:rFonts w:ascii="Times New Roman" w:hAnsi="Times New Roman" w:eastAsia="黑体" w:cs="Times New Roman"/>
          <w:color w:val="000000" w:themeColor="text1"/>
          <w:sz w:val="44"/>
          <w:szCs w:val="44"/>
          <w14:textFill>
            <w14:solidFill>
              <w14:schemeClr w14:val="tx1"/>
            </w14:solidFill>
          </w14:textFill>
        </w:rPr>
      </w:pPr>
      <w:r>
        <w:rPr>
          <w:rFonts w:hint="eastAsia" w:ascii="Times New Roman" w:hAnsi="Times New Roman" w:eastAsia="黑体" w:cs="Times New Roman"/>
          <w:color w:val="000000" w:themeColor="text1"/>
          <w:sz w:val="44"/>
          <w:szCs w:val="44"/>
          <w14:textFill>
            <w14:solidFill>
              <w14:schemeClr w14:val="tx1"/>
            </w14:solidFill>
          </w14:textFill>
        </w:rPr>
        <w:t xml:space="preserve"> </w:t>
      </w:r>
    </w:p>
    <w:p>
      <w:pPr>
        <w:spacing w:before="156" w:beforeLines="50" w:after="468" w:afterLines="150"/>
        <w:jc w:val="center"/>
        <w:rPr>
          <w:rFonts w:ascii="Times New Roman" w:hAnsi="Times New Roman" w:eastAsia="黑体" w:cs="Times New Roman"/>
          <w:color w:val="000000" w:themeColor="text1"/>
          <w:sz w:val="44"/>
          <w:szCs w:val="44"/>
          <w14:textFill>
            <w14:solidFill>
              <w14:schemeClr w14:val="tx1"/>
            </w14:solidFill>
          </w14:textFill>
        </w:rPr>
      </w:pPr>
    </w:p>
    <w:p>
      <w:pPr>
        <w:spacing w:before="156" w:beforeLines="50" w:after="468" w:afterLines="150"/>
        <w:jc w:val="center"/>
        <w:rPr>
          <w:rFonts w:ascii="Times New Roman" w:hAnsi="Times New Roman" w:eastAsia="黑体" w:cs="Times New Roman"/>
          <w:color w:val="000000" w:themeColor="text1"/>
          <w:sz w:val="44"/>
          <w:szCs w:val="44"/>
          <w14:textFill>
            <w14:solidFill>
              <w14:schemeClr w14:val="tx1"/>
            </w14:solidFill>
          </w14:textFill>
        </w:rPr>
      </w:pPr>
      <w:r>
        <w:rPr>
          <w:rFonts w:hint="eastAsia" w:ascii="Times New Roman" w:hAnsi="Times New Roman" w:eastAsia="黑体" w:cs="Times New Roman"/>
          <w:color w:val="000000" w:themeColor="text1"/>
          <w:sz w:val="44"/>
          <w:szCs w:val="44"/>
          <w14:textFill>
            <w14:solidFill>
              <w14:schemeClr w14:val="tx1"/>
            </w14:solidFill>
          </w14:textFill>
        </w:rPr>
        <w:t>五指山</w:t>
      </w:r>
      <w:r>
        <w:rPr>
          <w:rFonts w:ascii="Times New Roman" w:hAnsi="Times New Roman" w:eastAsia="黑体" w:cs="Times New Roman"/>
          <w:color w:val="000000" w:themeColor="text1"/>
          <w:sz w:val="44"/>
          <w:szCs w:val="44"/>
          <w14:textFill>
            <w14:solidFill>
              <w14:schemeClr w14:val="tx1"/>
            </w14:solidFill>
          </w14:textFill>
        </w:rPr>
        <w:t>市</w:t>
      </w:r>
      <w:r>
        <w:rPr>
          <w:rFonts w:hint="eastAsia" w:ascii="Times New Roman" w:hAnsi="Times New Roman" w:eastAsia="黑体" w:cs="Times New Roman"/>
          <w:color w:val="000000" w:themeColor="text1"/>
          <w:sz w:val="44"/>
          <w:szCs w:val="44"/>
          <w14:textFill>
            <w14:solidFill>
              <w14:schemeClr w14:val="tx1"/>
            </w14:solidFill>
          </w14:textFill>
        </w:rPr>
        <w:t>装配式建筑</w:t>
      </w:r>
    </w:p>
    <w:p>
      <w:pPr>
        <w:spacing w:before="156" w:beforeLines="50" w:after="468" w:afterLines="150"/>
        <w:jc w:val="center"/>
        <w:rPr>
          <w:rFonts w:ascii="Times New Roman" w:hAnsi="Times New Roman" w:eastAsia="黑体" w:cs="Times New Roman"/>
          <w:color w:val="000000" w:themeColor="text1"/>
          <w:sz w:val="44"/>
          <w:szCs w:val="44"/>
          <w14:textFill>
            <w14:solidFill>
              <w14:schemeClr w14:val="tx1"/>
            </w14:solidFill>
          </w14:textFill>
        </w:rPr>
      </w:pPr>
      <w:r>
        <w:rPr>
          <w:rFonts w:ascii="Times New Roman" w:hAnsi="Times New Roman" w:eastAsia="黑体" w:cs="Times New Roman"/>
          <w:color w:val="000000" w:themeColor="text1"/>
          <w:sz w:val="44"/>
          <w:szCs w:val="44"/>
          <w14:textFill>
            <w14:solidFill>
              <w14:schemeClr w14:val="tx1"/>
            </w14:solidFill>
          </w14:textFill>
        </w:rPr>
        <w:t>专项规划</w:t>
      </w:r>
    </w:p>
    <w:p>
      <w:pPr>
        <w:spacing w:before="156" w:beforeLines="50" w:after="468" w:afterLines="150"/>
        <w:jc w:val="center"/>
        <w:rPr>
          <w:rFonts w:ascii="Times New Roman" w:hAnsi="Times New Roman" w:eastAsia="黑体" w:cs="Times New Roman"/>
          <w:color w:val="000000" w:themeColor="text1"/>
          <w:sz w:val="44"/>
          <w:szCs w:val="44"/>
          <w14:textFill>
            <w14:solidFill>
              <w14:schemeClr w14:val="tx1"/>
            </w14:solidFill>
          </w14:textFill>
        </w:rPr>
      </w:pPr>
    </w:p>
    <w:p>
      <w:pPr>
        <w:spacing w:before="156" w:beforeLines="50" w:after="468" w:afterLines="150"/>
        <w:jc w:val="center"/>
        <w:rPr>
          <w:rFonts w:ascii="Times New Roman" w:hAnsi="Times New Roman" w:eastAsia="黑体" w:cs="Times New Roman"/>
          <w:color w:val="000000" w:themeColor="text1"/>
          <w:sz w:val="44"/>
          <w:szCs w:val="44"/>
          <w14:textFill>
            <w14:solidFill>
              <w14:schemeClr w14:val="tx1"/>
            </w14:solidFill>
          </w14:textFill>
        </w:rPr>
      </w:pPr>
    </w:p>
    <w:p>
      <w:pPr>
        <w:spacing w:before="156" w:beforeLines="50" w:after="468" w:afterLines="150"/>
        <w:jc w:val="center"/>
        <w:rPr>
          <w:rFonts w:ascii="Times New Roman" w:hAnsi="Times New Roman" w:eastAsia="黑体" w:cs="Times New Roman"/>
          <w:color w:val="000000" w:themeColor="text1"/>
          <w:sz w:val="44"/>
          <w:szCs w:val="44"/>
          <w14:textFill>
            <w14:solidFill>
              <w14:schemeClr w14:val="tx1"/>
            </w14:solidFill>
          </w14:textFill>
        </w:rPr>
      </w:pPr>
    </w:p>
    <w:p>
      <w:pPr>
        <w:spacing w:before="156" w:beforeLines="50" w:after="468" w:afterLines="150"/>
        <w:jc w:val="center"/>
        <w:rPr>
          <w:rFonts w:ascii="Times New Roman" w:hAnsi="Times New Roman" w:eastAsia="黑体" w:cs="Times New Roman"/>
          <w:color w:val="000000" w:themeColor="text1"/>
          <w:sz w:val="44"/>
          <w:szCs w:val="44"/>
          <w14:textFill>
            <w14:solidFill>
              <w14:schemeClr w14:val="tx1"/>
            </w14:solidFill>
          </w14:textFill>
        </w:rPr>
      </w:pPr>
    </w:p>
    <w:p>
      <w:pPr>
        <w:spacing w:before="156" w:beforeLines="50" w:after="468" w:afterLines="150"/>
        <w:jc w:val="center"/>
        <w:rPr>
          <w:rFonts w:ascii="Times New Roman" w:hAnsi="Times New Roman" w:eastAsia="黑体" w:cs="Times New Roman"/>
          <w:color w:val="000000" w:themeColor="text1"/>
          <w:sz w:val="44"/>
          <w:szCs w:val="44"/>
          <w14:textFill>
            <w14:solidFill>
              <w14:schemeClr w14:val="tx1"/>
            </w14:solidFill>
          </w14:textFill>
        </w:rPr>
      </w:pPr>
    </w:p>
    <w:p>
      <w:pPr>
        <w:spacing w:before="156" w:beforeLines="50" w:after="468" w:afterLines="150"/>
        <w:jc w:val="center"/>
        <w:rPr>
          <w:rFonts w:ascii="Times New Roman" w:hAnsi="Times New Roman" w:eastAsia="黑体" w:cs="Times New Roman"/>
          <w:color w:val="000000" w:themeColor="text1"/>
          <w:sz w:val="44"/>
          <w:szCs w:val="44"/>
          <w14:textFill>
            <w14:solidFill>
              <w14:schemeClr w14:val="tx1"/>
            </w14:solidFill>
          </w14:textFill>
        </w:rPr>
      </w:pPr>
    </w:p>
    <w:p>
      <w:pPr>
        <w:jc w:val="center"/>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二</w:t>
      </w:r>
      <w:r>
        <w:rPr>
          <w:rFonts w:hint="eastAsia" w:ascii="Times New Roman" w:hAnsi="Times New Roman" w:eastAsia="黑体" w:cs="Times New Roman"/>
          <w:color w:val="000000" w:themeColor="text1"/>
          <w:sz w:val="32"/>
          <w:szCs w:val="32"/>
          <w14:textFill>
            <w14:solidFill>
              <w14:schemeClr w14:val="tx1"/>
            </w14:solidFill>
          </w14:textFill>
        </w:rPr>
        <w:t>○</w:t>
      </w:r>
      <w:r>
        <w:rPr>
          <w:rFonts w:ascii="Times New Roman" w:hAnsi="Times New Roman" w:eastAsia="黑体" w:cs="Times New Roman"/>
          <w:color w:val="000000" w:themeColor="text1"/>
          <w:sz w:val="32"/>
          <w:szCs w:val="32"/>
          <w14:textFill>
            <w14:solidFill>
              <w14:schemeClr w14:val="tx1"/>
            </w14:solidFill>
          </w14:textFill>
        </w:rPr>
        <w:t>一</w:t>
      </w:r>
      <w:r>
        <w:rPr>
          <w:rFonts w:hint="eastAsia" w:ascii="Times New Roman" w:hAnsi="Times New Roman" w:eastAsia="黑体" w:cs="Times New Roman"/>
          <w:color w:val="000000" w:themeColor="text1"/>
          <w:sz w:val="32"/>
          <w:szCs w:val="32"/>
          <w:lang w:val="en-US" w:eastAsia="zh-CN"/>
          <w14:textFill>
            <w14:solidFill>
              <w14:schemeClr w14:val="tx1"/>
            </w14:solidFill>
          </w14:textFill>
        </w:rPr>
        <w:t>九</w:t>
      </w:r>
      <w:r>
        <w:rPr>
          <w:rFonts w:ascii="Times New Roman" w:hAnsi="Times New Roman" w:eastAsia="黑体" w:cs="Times New Roman"/>
          <w:color w:val="000000" w:themeColor="text1"/>
          <w:sz w:val="32"/>
          <w:szCs w:val="32"/>
          <w14:textFill>
            <w14:solidFill>
              <w14:schemeClr w14:val="tx1"/>
            </w14:solidFill>
          </w14:textFill>
        </w:rPr>
        <w:t>年</w:t>
      </w:r>
    </w:p>
    <w:p>
      <w:pPr>
        <w:jc w:val="center"/>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br w:type="page"/>
      </w:r>
    </w:p>
    <w:p>
      <w:pPr>
        <w:jc w:val="center"/>
        <w:rPr>
          <w:rFonts w:ascii="Times New Roman" w:hAnsi="Times New Roman" w:eastAsia="黑体" w:cs="Times New Roman"/>
          <w:b/>
          <w:bCs/>
          <w:color w:val="000000" w:themeColor="text1"/>
          <w:sz w:val="32"/>
          <w:szCs w:val="32"/>
          <w14:textFill>
            <w14:solidFill>
              <w14:schemeClr w14:val="tx1"/>
            </w14:solidFill>
          </w14:textFill>
        </w:rPr>
      </w:pPr>
      <w:r>
        <w:rPr>
          <w:rFonts w:ascii="Times New Roman" w:hAnsi="Times New Roman" w:eastAsia="黑体" w:cs="Times New Roman"/>
          <w:b/>
          <w:bCs/>
          <w:color w:val="000000" w:themeColor="text1"/>
          <w:sz w:val="32"/>
          <w:szCs w:val="32"/>
          <w14:textFill>
            <w14:solidFill>
              <w14:schemeClr w14:val="tx1"/>
            </w14:solidFill>
          </w14:textFill>
        </w:rPr>
        <w:t>目</w:t>
      </w:r>
      <w:r>
        <w:rPr>
          <w:rFonts w:hint="eastAsia" w:ascii="Times New Roman" w:hAnsi="Times New Roman" w:eastAsia="黑体" w:cs="Times New Roman"/>
          <w:b/>
          <w:bCs/>
          <w:color w:val="000000" w:themeColor="text1"/>
          <w:sz w:val="32"/>
          <w:szCs w:val="32"/>
          <w14:textFill>
            <w14:solidFill>
              <w14:schemeClr w14:val="tx1"/>
            </w14:solidFill>
          </w14:textFill>
        </w:rPr>
        <w:t xml:space="preserve"> </w:t>
      </w:r>
      <w:r>
        <w:rPr>
          <w:rFonts w:ascii="Times New Roman" w:hAnsi="Times New Roman" w:eastAsia="黑体" w:cs="Times New Roman"/>
          <w:b/>
          <w:bCs/>
          <w:color w:val="000000" w:themeColor="text1"/>
          <w:sz w:val="32"/>
          <w:szCs w:val="32"/>
          <w14:textFill>
            <w14:solidFill>
              <w14:schemeClr w14:val="tx1"/>
            </w14:solidFill>
          </w14:textFill>
        </w:rPr>
        <w:t>录</w:t>
      </w:r>
    </w:p>
    <w:p>
      <w:pPr>
        <w:pStyle w:val="9"/>
        <w:tabs>
          <w:tab w:val="right" w:leader="dot" w:pos="8306"/>
        </w:tabs>
        <w:spacing w:line="240" w:lineRule="auto"/>
        <w:rPr>
          <w:rFonts w:ascii="Times New Roman" w:hAnsi="Times New Roman" w:eastAsia="宋体"/>
        </w:rPr>
      </w:pPr>
      <w:r>
        <w:rPr>
          <w:rFonts w:hint="eastAsia" w:ascii="Times New Roman" w:hAnsi="Times New Roman" w:eastAsia="仿宋" w:cs="仿宋"/>
          <w:b/>
          <w:bCs/>
          <w:color w:val="000000" w:themeColor="text1"/>
          <w:szCs w:val="28"/>
          <w14:textFill>
            <w14:solidFill>
              <w14:schemeClr w14:val="tx1"/>
            </w14:solidFill>
          </w14:textFill>
        </w:rPr>
        <w:fldChar w:fldCharType="begin"/>
      </w:r>
      <w:r>
        <w:rPr>
          <w:rFonts w:hint="eastAsia" w:ascii="Times New Roman" w:hAnsi="Times New Roman" w:eastAsia="仿宋" w:cs="仿宋"/>
          <w:b/>
          <w:bCs/>
          <w:color w:val="000000" w:themeColor="text1"/>
          <w:szCs w:val="28"/>
          <w14:textFill>
            <w14:solidFill>
              <w14:schemeClr w14:val="tx1"/>
            </w14:solidFill>
          </w14:textFill>
        </w:rPr>
        <w:instrText xml:space="preserve"> TOC \o "1-2" \h \z \u </w:instrText>
      </w:r>
      <w:r>
        <w:rPr>
          <w:rFonts w:hint="eastAsia" w:ascii="Times New Roman" w:hAnsi="Times New Roman" w:eastAsia="仿宋" w:cs="仿宋"/>
          <w:b/>
          <w:bCs/>
          <w:color w:val="000000" w:themeColor="text1"/>
          <w:szCs w:val="28"/>
          <w14:textFill>
            <w14:solidFill>
              <w14:schemeClr w14:val="tx1"/>
            </w14:solidFill>
          </w14:textFill>
        </w:rPr>
        <w:fldChar w:fldCharType="separate"/>
      </w:r>
      <w:r>
        <w:fldChar w:fldCharType="begin"/>
      </w:r>
      <w:r>
        <w:instrText xml:space="preserve"> HYPERLINK \l "_Toc9188" </w:instrText>
      </w:r>
      <w:r>
        <w:fldChar w:fldCharType="separate"/>
      </w:r>
      <w:r>
        <w:rPr>
          <w:rFonts w:hint="eastAsia" w:ascii="Times New Roman" w:hAnsi="Times New Roman" w:eastAsia="宋体" w:cs="黑体"/>
          <w:szCs w:val="32"/>
        </w:rPr>
        <w:t>第一章</w:t>
      </w:r>
      <w:r>
        <w:rPr>
          <w:rFonts w:ascii="Times New Roman" w:hAnsi="Times New Roman" w:eastAsia="宋体" w:cs="黑体"/>
          <w:szCs w:val="32"/>
        </w:rPr>
        <w:t xml:space="preserve"> </w:t>
      </w:r>
      <w:r>
        <w:rPr>
          <w:rFonts w:hint="eastAsia" w:ascii="Times New Roman" w:hAnsi="Times New Roman" w:eastAsia="宋体" w:cs="黑体"/>
          <w:szCs w:val="32"/>
        </w:rPr>
        <w:t>总则</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_Toc9188 </w:instrText>
      </w:r>
      <w:r>
        <w:rPr>
          <w:rFonts w:ascii="Times New Roman" w:hAnsi="Times New Roman" w:eastAsia="宋体"/>
        </w:rPr>
        <w:fldChar w:fldCharType="separate"/>
      </w:r>
      <w:r>
        <w:rPr>
          <w:rFonts w:ascii="Times New Roman" w:hAnsi="Times New Roman" w:eastAsia="宋体"/>
        </w:rPr>
        <w:t>1</w:t>
      </w:r>
      <w:r>
        <w:rPr>
          <w:rFonts w:ascii="Times New Roman" w:hAnsi="Times New Roman" w:eastAsia="宋体"/>
        </w:rPr>
        <w:fldChar w:fldCharType="end"/>
      </w:r>
      <w:r>
        <w:rPr>
          <w:rFonts w:ascii="Times New Roman" w:hAnsi="Times New Roman" w:eastAsia="宋体"/>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"_Toc25152" </w:instrText>
      </w:r>
      <w:r>
        <w:fldChar w:fldCharType="separate"/>
      </w:r>
      <w:r>
        <w:rPr>
          <w:rFonts w:hint="eastAsia" w:ascii="Times New Roman" w:hAnsi="Times New Roman" w:eastAsia="宋体"/>
          <w:sz w:val="28"/>
          <w:szCs w:val="30"/>
        </w:rPr>
        <w:t>一、规划范围</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_Toc25152 </w:instrText>
      </w:r>
      <w:r>
        <w:rPr>
          <w:rFonts w:ascii="Times New Roman" w:hAnsi="Times New Roman" w:eastAsia="宋体"/>
          <w:sz w:val="28"/>
        </w:rPr>
        <w:fldChar w:fldCharType="separate"/>
      </w:r>
      <w:r>
        <w:rPr>
          <w:rFonts w:ascii="Times New Roman" w:hAnsi="Times New Roman" w:eastAsia="宋体"/>
          <w:sz w:val="28"/>
        </w:rPr>
        <w:t>1</w:t>
      </w:r>
      <w:r>
        <w:rPr>
          <w:rFonts w:ascii="Times New Roman" w:hAnsi="Times New Roman" w:eastAsia="宋体"/>
          <w:sz w:val="28"/>
        </w:rPr>
        <w:fldChar w:fldCharType="end"/>
      </w:r>
      <w:r>
        <w:rPr>
          <w:rFonts w:ascii="Times New Roman" w:hAnsi="Times New Roman" w:eastAsia="宋体"/>
          <w:sz w:val="28"/>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"_Toc4546" </w:instrText>
      </w:r>
      <w:r>
        <w:fldChar w:fldCharType="separate"/>
      </w:r>
      <w:r>
        <w:rPr>
          <w:rFonts w:hint="eastAsia" w:ascii="Times New Roman" w:hAnsi="Times New Roman" w:eastAsia="宋体"/>
          <w:sz w:val="28"/>
          <w:szCs w:val="30"/>
        </w:rPr>
        <w:t>二、规划时限</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_Toc4546 </w:instrText>
      </w:r>
      <w:r>
        <w:rPr>
          <w:rFonts w:ascii="Times New Roman" w:hAnsi="Times New Roman" w:eastAsia="宋体"/>
          <w:sz w:val="28"/>
        </w:rPr>
        <w:fldChar w:fldCharType="separate"/>
      </w:r>
      <w:r>
        <w:rPr>
          <w:rFonts w:ascii="Times New Roman" w:hAnsi="Times New Roman" w:eastAsia="宋体"/>
          <w:sz w:val="28"/>
        </w:rPr>
        <w:t>1</w:t>
      </w:r>
      <w:r>
        <w:rPr>
          <w:rFonts w:ascii="Times New Roman" w:hAnsi="Times New Roman" w:eastAsia="宋体"/>
          <w:sz w:val="28"/>
        </w:rPr>
        <w:fldChar w:fldCharType="end"/>
      </w:r>
      <w:r>
        <w:rPr>
          <w:rFonts w:ascii="Times New Roman" w:hAnsi="Times New Roman" w:eastAsia="宋体"/>
          <w:sz w:val="28"/>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"_Toc8362" </w:instrText>
      </w:r>
      <w:r>
        <w:fldChar w:fldCharType="separate"/>
      </w:r>
      <w:r>
        <w:rPr>
          <w:rFonts w:hint="eastAsia" w:ascii="Times New Roman" w:hAnsi="Times New Roman" w:eastAsia="宋体"/>
          <w:sz w:val="28"/>
          <w:szCs w:val="30"/>
        </w:rPr>
        <w:t>三、规划依据</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_Toc8362 </w:instrText>
      </w:r>
      <w:r>
        <w:rPr>
          <w:rFonts w:ascii="Times New Roman" w:hAnsi="Times New Roman" w:eastAsia="宋体"/>
          <w:sz w:val="28"/>
        </w:rPr>
        <w:fldChar w:fldCharType="separate"/>
      </w:r>
      <w:r>
        <w:rPr>
          <w:rFonts w:ascii="Times New Roman" w:hAnsi="Times New Roman" w:eastAsia="宋体"/>
          <w:sz w:val="28"/>
        </w:rPr>
        <w:t>1</w:t>
      </w:r>
      <w:r>
        <w:rPr>
          <w:rFonts w:ascii="Times New Roman" w:hAnsi="Times New Roman" w:eastAsia="宋体"/>
          <w:sz w:val="28"/>
        </w:rPr>
        <w:fldChar w:fldCharType="end"/>
      </w:r>
      <w:r>
        <w:rPr>
          <w:rFonts w:ascii="Times New Roman" w:hAnsi="Times New Roman" w:eastAsia="宋体"/>
          <w:sz w:val="28"/>
        </w:rPr>
        <w:fldChar w:fldCharType="end"/>
      </w:r>
    </w:p>
    <w:p>
      <w:pPr>
        <w:pStyle w:val="9"/>
        <w:tabs>
          <w:tab w:val="right" w:leader="dot" w:pos="8306"/>
        </w:tabs>
        <w:spacing w:line="240" w:lineRule="auto"/>
        <w:rPr>
          <w:rFonts w:ascii="Times New Roman" w:hAnsi="Times New Roman" w:eastAsia="宋体"/>
        </w:rPr>
      </w:pPr>
      <w:r>
        <w:fldChar w:fldCharType="begin"/>
      </w:r>
      <w:r>
        <w:instrText xml:space="preserve"> HYPERLINK \l "_Toc17428" </w:instrText>
      </w:r>
      <w:r>
        <w:fldChar w:fldCharType="separate"/>
      </w:r>
      <w:r>
        <w:rPr>
          <w:rFonts w:hint="eastAsia" w:ascii="Times New Roman" w:hAnsi="Times New Roman" w:eastAsia="宋体" w:cs="黑体"/>
          <w:szCs w:val="32"/>
        </w:rPr>
        <w:t>第二章</w:t>
      </w:r>
      <w:r>
        <w:rPr>
          <w:rFonts w:ascii="Times New Roman" w:hAnsi="Times New Roman" w:eastAsia="宋体" w:cs="黑体"/>
          <w:szCs w:val="32"/>
        </w:rPr>
        <w:t xml:space="preserve"> </w:t>
      </w:r>
      <w:r>
        <w:rPr>
          <w:rFonts w:hint="eastAsia" w:ascii="Times New Roman" w:hAnsi="Times New Roman" w:eastAsia="宋体" w:cs="黑体"/>
          <w:szCs w:val="32"/>
        </w:rPr>
        <w:t>发展现状</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_Toc17428 </w:instrText>
      </w:r>
      <w:r>
        <w:rPr>
          <w:rFonts w:ascii="Times New Roman" w:hAnsi="Times New Roman" w:eastAsia="宋体"/>
        </w:rPr>
        <w:fldChar w:fldCharType="separate"/>
      </w:r>
      <w:r>
        <w:rPr>
          <w:rFonts w:ascii="Times New Roman" w:hAnsi="Times New Roman" w:eastAsia="宋体"/>
        </w:rPr>
        <w:t>5</w:t>
      </w:r>
      <w:r>
        <w:rPr>
          <w:rFonts w:ascii="Times New Roman" w:hAnsi="Times New Roman" w:eastAsia="宋体"/>
        </w:rPr>
        <w:fldChar w:fldCharType="end"/>
      </w:r>
      <w:r>
        <w:rPr>
          <w:rFonts w:ascii="Times New Roman" w:hAnsi="Times New Roman" w:eastAsia="宋体"/>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"_Toc12320" </w:instrText>
      </w:r>
      <w:r>
        <w:fldChar w:fldCharType="separate"/>
      </w:r>
      <w:r>
        <w:rPr>
          <w:rFonts w:hint="eastAsia" w:ascii="Times New Roman" w:hAnsi="Times New Roman" w:eastAsia="宋体"/>
          <w:sz w:val="28"/>
          <w:szCs w:val="30"/>
        </w:rPr>
        <w:t>一、市县基本情况</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_Toc12320 </w:instrText>
      </w:r>
      <w:r>
        <w:rPr>
          <w:rFonts w:ascii="Times New Roman" w:hAnsi="Times New Roman" w:eastAsia="宋体"/>
          <w:sz w:val="28"/>
        </w:rPr>
        <w:fldChar w:fldCharType="separate"/>
      </w:r>
      <w:r>
        <w:rPr>
          <w:rFonts w:ascii="Times New Roman" w:hAnsi="Times New Roman" w:eastAsia="宋体"/>
          <w:sz w:val="28"/>
        </w:rPr>
        <w:t>5</w:t>
      </w:r>
      <w:r>
        <w:rPr>
          <w:rFonts w:ascii="Times New Roman" w:hAnsi="Times New Roman" w:eastAsia="宋体"/>
          <w:sz w:val="28"/>
        </w:rPr>
        <w:fldChar w:fldCharType="end"/>
      </w:r>
      <w:r>
        <w:rPr>
          <w:rFonts w:ascii="Times New Roman" w:hAnsi="Times New Roman" w:eastAsia="宋体"/>
          <w:sz w:val="28"/>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"_Toc21775" </w:instrText>
      </w:r>
      <w:r>
        <w:fldChar w:fldCharType="separate"/>
      </w:r>
      <w:r>
        <w:rPr>
          <w:rFonts w:hint="eastAsia" w:ascii="Times New Roman" w:hAnsi="Times New Roman" w:eastAsia="宋体"/>
          <w:sz w:val="28"/>
          <w:szCs w:val="30"/>
        </w:rPr>
        <w:t>二、市县建筑业发展情况</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_Toc21775 </w:instrText>
      </w:r>
      <w:r>
        <w:rPr>
          <w:rFonts w:ascii="Times New Roman" w:hAnsi="Times New Roman" w:eastAsia="宋体"/>
          <w:sz w:val="28"/>
        </w:rPr>
        <w:fldChar w:fldCharType="separate"/>
      </w:r>
      <w:r>
        <w:rPr>
          <w:rFonts w:ascii="Times New Roman" w:hAnsi="Times New Roman" w:eastAsia="宋体"/>
          <w:sz w:val="28"/>
        </w:rPr>
        <w:t>8</w:t>
      </w:r>
      <w:r>
        <w:rPr>
          <w:rFonts w:ascii="Times New Roman" w:hAnsi="Times New Roman" w:eastAsia="宋体"/>
          <w:sz w:val="28"/>
        </w:rPr>
        <w:fldChar w:fldCharType="end"/>
      </w:r>
      <w:r>
        <w:rPr>
          <w:rFonts w:ascii="Times New Roman" w:hAnsi="Times New Roman" w:eastAsia="宋体"/>
          <w:sz w:val="28"/>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"_Toc10047" </w:instrText>
      </w:r>
      <w:r>
        <w:fldChar w:fldCharType="separate"/>
      </w:r>
      <w:r>
        <w:rPr>
          <w:rFonts w:hint="eastAsia" w:ascii="Times New Roman" w:hAnsi="Times New Roman" w:eastAsia="宋体"/>
          <w:sz w:val="28"/>
          <w:szCs w:val="30"/>
        </w:rPr>
        <w:t>三、存在问题</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_Toc10047 </w:instrText>
      </w:r>
      <w:r>
        <w:rPr>
          <w:rFonts w:ascii="Times New Roman" w:hAnsi="Times New Roman" w:eastAsia="宋体"/>
          <w:sz w:val="28"/>
        </w:rPr>
        <w:fldChar w:fldCharType="separate"/>
      </w:r>
      <w:r>
        <w:rPr>
          <w:rFonts w:ascii="Times New Roman" w:hAnsi="Times New Roman" w:eastAsia="宋体"/>
          <w:sz w:val="28"/>
        </w:rPr>
        <w:t>11</w:t>
      </w:r>
      <w:r>
        <w:rPr>
          <w:rFonts w:ascii="Times New Roman" w:hAnsi="Times New Roman" w:eastAsia="宋体"/>
          <w:sz w:val="28"/>
        </w:rPr>
        <w:fldChar w:fldCharType="end"/>
      </w:r>
      <w:r>
        <w:rPr>
          <w:rFonts w:ascii="Times New Roman" w:hAnsi="Times New Roman" w:eastAsia="宋体"/>
          <w:sz w:val="28"/>
        </w:rPr>
        <w:fldChar w:fldCharType="end"/>
      </w:r>
    </w:p>
    <w:p>
      <w:pPr>
        <w:pStyle w:val="9"/>
        <w:tabs>
          <w:tab w:val="right" w:leader="dot" w:pos="8306"/>
        </w:tabs>
        <w:spacing w:line="240" w:lineRule="auto"/>
        <w:rPr>
          <w:rFonts w:ascii="Times New Roman" w:hAnsi="Times New Roman" w:eastAsia="宋体"/>
        </w:rPr>
      </w:pPr>
      <w:r>
        <w:fldChar w:fldCharType="begin"/>
      </w:r>
      <w:r>
        <w:instrText xml:space="preserve"> HYPERLINK \l "_Toc14633" </w:instrText>
      </w:r>
      <w:r>
        <w:fldChar w:fldCharType="separate"/>
      </w:r>
      <w:r>
        <w:rPr>
          <w:rFonts w:hint="eastAsia" w:ascii="Times New Roman" w:hAnsi="Times New Roman" w:eastAsia="宋体" w:cs="黑体"/>
          <w:szCs w:val="32"/>
        </w:rPr>
        <w:t>第三章</w:t>
      </w:r>
      <w:r>
        <w:rPr>
          <w:rFonts w:ascii="Times New Roman" w:hAnsi="Times New Roman" w:eastAsia="宋体" w:cs="黑体"/>
          <w:szCs w:val="32"/>
        </w:rPr>
        <w:t xml:space="preserve"> </w:t>
      </w:r>
      <w:r>
        <w:rPr>
          <w:rFonts w:hint="eastAsia" w:ascii="Times New Roman" w:hAnsi="Times New Roman" w:eastAsia="宋体" w:cs="黑体"/>
          <w:szCs w:val="32"/>
        </w:rPr>
        <w:t>发展定位和目标</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_Toc14633 </w:instrText>
      </w:r>
      <w:r>
        <w:rPr>
          <w:rFonts w:ascii="Times New Roman" w:hAnsi="Times New Roman" w:eastAsia="宋体"/>
        </w:rPr>
        <w:fldChar w:fldCharType="separate"/>
      </w:r>
      <w:r>
        <w:rPr>
          <w:rFonts w:ascii="Times New Roman" w:hAnsi="Times New Roman" w:eastAsia="宋体"/>
        </w:rPr>
        <w:t>13</w:t>
      </w:r>
      <w:r>
        <w:rPr>
          <w:rFonts w:ascii="Times New Roman" w:hAnsi="Times New Roman" w:eastAsia="宋体"/>
        </w:rPr>
        <w:fldChar w:fldCharType="end"/>
      </w:r>
      <w:r>
        <w:rPr>
          <w:rFonts w:ascii="Times New Roman" w:hAnsi="Times New Roman" w:eastAsia="宋体"/>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"_Toc18345" </w:instrText>
      </w:r>
      <w:r>
        <w:fldChar w:fldCharType="separate"/>
      </w:r>
      <w:r>
        <w:rPr>
          <w:rFonts w:hint="eastAsia" w:ascii="Times New Roman" w:hAnsi="Times New Roman" w:eastAsia="宋体"/>
          <w:sz w:val="28"/>
          <w:szCs w:val="30"/>
        </w:rPr>
        <w:t>一、发展定位</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_Toc18345 </w:instrText>
      </w:r>
      <w:r>
        <w:rPr>
          <w:rFonts w:ascii="Times New Roman" w:hAnsi="Times New Roman" w:eastAsia="宋体"/>
          <w:sz w:val="28"/>
        </w:rPr>
        <w:fldChar w:fldCharType="separate"/>
      </w:r>
      <w:r>
        <w:rPr>
          <w:rFonts w:ascii="Times New Roman" w:hAnsi="Times New Roman" w:eastAsia="宋体"/>
          <w:sz w:val="28"/>
        </w:rPr>
        <w:t>13</w:t>
      </w:r>
      <w:r>
        <w:rPr>
          <w:rFonts w:ascii="Times New Roman" w:hAnsi="Times New Roman" w:eastAsia="宋体"/>
          <w:sz w:val="28"/>
        </w:rPr>
        <w:fldChar w:fldCharType="end"/>
      </w:r>
      <w:r>
        <w:rPr>
          <w:rFonts w:ascii="Times New Roman" w:hAnsi="Times New Roman" w:eastAsia="宋体"/>
          <w:sz w:val="28"/>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"_Toc30305" </w:instrText>
      </w:r>
      <w:r>
        <w:fldChar w:fldCharType="separate"/>
      </w:r>
      <w:r>
        <w:rPr>
          <w:rFonts w:hint="eastAsia" w:ascii="Times New Roman" w:hAnsi="Times New Roman" w:eastAsia="宋体"/>
          <w:sz w:val="28"/>
          <w:szCs w:val="30"/>
        </w:rPr>
        <w:t>二、总体发展目标</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_Toc30305 </w:instrText>
      </w:r>
      <w:r>
        <w:rPr>
          <w:rFonts w:ascii="Times New Roman" w:hAnsi="Times New Roman" w:eastAsia="宋体"/>
          <w:sz w:val="28"/>
        </w:rPr>
        <w:fldChar w:fldCharType="separate"/>
      </w:r>
      <w:r>
        <w:rPr>
          <w:rFonts w:ascii="Times New Roman" w:hAnsi="Times New Roman" w:eastAsia="宋体"/>
          <w:sz w:val="28"/>
        </w:rPr>
        <w:t>13</w:t>
      </w:r>
      <w:r>
        <w:rPr>
          <w:rFonts w:ascii="Times New Roman" w:hAnsi="Times New Roman" w:eastAsia="宋体"/>
          <w:sz w:val="28"/>
        </w:rPr>
        <w:fldChar w:fldCharType="end"/>
      </w:r>
      <w:r>
        <w:rPr>
          <w:rFonts w:ascii="Times New Roman" w:hAnsi="Times New Roman" w:eastAsia="宋体"/>
          <w:sz w:val="28"/>
        </w:rPr>
        <w:fldChar w:fldCharType="end"/>
      </w:r>
    </w:p>
    <w:p>
      <w:pPr>
        <w:pStyle w:val="9"/>
        <w:tabs>
          <w:tab w:val="right" w:leader="dot" w:pos="8306"/>
        </w:tabs>
        <w:spacing w:line="240" w:lineRule="auto"/>
        <w:rPr>
          <w:rFonts w:ascii="Times New Roman" w:hAnsi="Times New Roman" w:eastAsia="宋体"/>
        </w:rPr>
      </w:pPr>
      <w:r>
        <w:fldChar w:fldCharType="begin"/>
      </w:r>
      <w:r>
        <w:instrText xml:space="preserve"> HYPERLINK \l "_Toc9917" </w:instrText>
      </w:r>
      <w:r>
        <w:fldChar w:fldCharType="separate"/>
      </w:r>
      <w:r>
        <w:rPr>
          <w:rFonts w:hint="eastAsia" w:ascii="Times New Roman" w:hAnsi="Times New Roman" w:eastAsia="宋体" w:cs="黑体"/>
          <w:szCs w:val="32"/>
        </w:rPr>
        <w:t>第四章</w:t>
      </w:r>
      <w:r>
        <w:rPr>
          <w:rFonts w:ascii="Times New Roman" w:hAnsi="Times New Roman" w:eastAsia="宋体" w:cs="黑体"/>
          <w:szCs w:val="32"/>
        </w:rPr>
        <w:t xml:space="preserve"> </w:t>
      </w:r>
      <w:r>
        <w:rPr>
          <w:rFonts w:hint="eastAsia" w:ascii="Times New Roman" w:hAnsi="Times New Roman" w:eastAsia="宋体" w:cs="黑体"/>
          <w:szCs w:val="32"/>
        </w:rPr>
        <w:t>发展战略和技术路线</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_Toc9917 </w:instrText>
      </w:r>
      <w:r>
        <w:rPr>
          <w:rFonts w:ascii="Times New Roman" w:hAnsi="Times New Roman" w:eastAsia="宋体"/>
        </w:rPr>
        <w:fldChar w:fldCharType="separate"/>
      </w:r>
      <w:r>
        <w:rPr>
          <w:rFonts w:ascii="Times New Roman" w:hAnsi="Times New Roman" w:eastAsia="宋体"/>
        </w:rPr>
        <w:t>15</w:t>
      </w:r>
      <w:r>
        <w:rPr>
          <w:rFonts w:ascii="Times New Roman" w:hAnsi="Times New Roman" w:eastAsia="宋体"/>
        </w:rPr>
        <w:fldChar w:fldCharType="end"/>
      </w:r>
      <w:r>
        <w:rPr>
          <w:rFonts w:ascii="Times New Roman" w:hAnsi="Times New Roman" w:eastAsia="宋体"/>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"_Toc16011" </w:instrText>
      </w:r>
      <w:r>
        <w:fldChar w:fldCharType="separate"/>
      </w:r>
      <w:r>
        <w:rPr>
          <w:rFonts w:hint="eastAsia" w:ascii="Times New Roman" w:hAnsi="Times New Roman" w:eastAsia="宋体"/>
          <w:sz w:val="28"/>
          <w:szCs w:val="30"/>
        </w:rPr>
        <w:t>一、总体发展战略</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_Toc16011 </w:instrText>
      </w:r>
      <w:r>
        <w:rPr>
          <w:rFonts w:ascii="Times New Roman" w:hAnsi="Times New Roman" w:eastAsia="宋体"/>
          <w:sz w:val="28"/>
        </w:rPr>
        <w:fldChar w:fldCharType="separate"/>
      </w:r>
      <w:r>
        <w:rPr>
          <w:rFonts w:ascii="Times New Roman" w:hAnsi="Times New Roman" w:eastAsia="宋体"/>
          <w:sz w:val="28"/>
        </w:rPr>
        <w:t>15</w:t>
      </w:r>
      <w:r>
        <w:rPr>
          <w:rFonts w:ascii="Times New Roman" w:hAnsi="Times New Roman" w:eastAsia="宋体"/>
          <w:sz w:val="28"/>
        </w:rPr>
        <w:fldChar w:fldCharType="end"/>
      </w:r>
      <w:r>
        <w:rPr>
          <w:rFonts w:ascii="Times New Roman" w:hAnsi="Times New Roman" w:eastAsia="宋体"/>
          <w:sz w:val="28"/>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"_Toc8495" </w:instrText>
      </w:r>
      <w:r>
        <w:fldChar w:fldCharType="separate"/>
      </w:r>
      <w:r>
        <w:rPr>
          <w:rFonts w:hint="eastAsia" w:ascii="Times New Roman" w:hAnsi="Times New Roman" w:eastAsia="宋体"/>
          <w:sz w:val="28"/>
          <w:szCs w:val="30"/>
        </w:rPr>
        <w:t>二、总体技术路线</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_Toc8495 </w:instrText>
      </w:r>
      <w:r>
        <w:rPr>
          <w:rFonts w:ascii="Times New Roman" w:hAnsi="Times New Roman" w:eastAsia="宋体"/>
          <w:sz w:val="28"/>
        </w:rPr>
        <w:fldChar w:fldCharType="separate"/>
      </w:r>
      <w:r>
        <w:rPr>
          <w:rFonts w:ascii="Times New Roman" w:hAnsi="Times New Roman" w:eastAsia="宋体"/>
          <w:sz w:val="28"/>
        </w:rPr>
        <w:t>15</w:t>
      </w:r>
      <w:r>
        <w:rPr>
          <w:rFonts w:ascii="Times New Roman" w:hAnsi="Times New Roman" w:eastAsia="宋体"/>
          <w:sz w:val="28"/>
        </w:rPr>
        <w:fldChar w:fldCharType="end"/>
      </w:r>
      <w:r>
        <w:rPr>
          <w:rFonts w:ascii="Times New Roman" w:hAnsi="Times New Roman" w:eastAsia="宋体"/>
          <w:sz w:val="28"/>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"_Toc19727" </w:instrText>
      </w:r>
      <w:r>
        <w:fldChar w:fldCharType="separate"/>
      </w:r>
      <w:r>
        <w:rPr>
          <w:rFonts w:hint="eastAsia" w:ascii="Times New Roman" w:hAnsi="Times New Roman" w:eastAsia="宋体"/>
          <w:sz w:val="28"/>
          <w:szCs w:val="30"/>
        </w:rPr>
        <w:t>三、装配式建筑重点工作和产业发展计划</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_Toc19727 </w:instrText>
      </w:r>
      <w:r>
        <w:rPr>
          <w:rFonts w:ascii="Times New Roman" w:hAnsi="Times New Roman" w:eastAsia="宋体"/>
          <w:sz w:val="28"/>
        </w:rPr>
        <w:fldChar w:fldCharType="separate"/>
      </w:r>
      <w:r>
        <w:rPr>
          <w:rFonts w:ascii="Times New Roman" w:hAnsi="Times New Roman" w:eastAsia="宋体"/>
          <w:sz w:val="28"/>
        </w:rPr>
        <w:t>17</w:t>
      </w:r>
      <w:r>
        <w:rPr>
          <w:rFonts w:ascii="Times New Roman" w:hAnsi="Times New Roman" w:eastAsia="宋体"/>
          <w:sz w:val="28"/>
        </w:rPr>
        <w:fldChar w:fldCharType="end"/>
      </w:r>
      <w:r>
        <w:rPr>
          <w:rFonts w:ascii="Times New Roman" w:hAnsi="Times New Roman" w:eastAsia="宋体"/>
          <w:sz w:val="28"/>
        </w:rPr>
        <w:fldChar w:fldCharType="end"/>
      </w:r>
    </w:p>
    <w:p>
      <w:pPr>
        <w:pStyle w:val="9"/>
        <w:tabs>
          <w:tab w:val="right" w:leader="dot" w:pos="8306"/>
        </w:tabs>
        <w:spacing w:line="240" w:lineRule="auto"/>
        <w:rPr>
          <w:rFonts w:ascii="Times New Roman" w:hAnsi="Times New Roman" w:eastAsia="宋体"/>
        </w:rPr>
      </w:pPr>
      <w:r>
        <w:fldChar w:fldCharType="begin"/>
      </w:r>
      <w:r>
        <w:instrText xml:space="preserve"> HYPERLINK \l "_Toc6199" </w:instrText>
      </w:r>
      <w:r>
        <w:fldChar w:fldCharType="separate"/>
      </w:r>
      <w:r>
        <w:rPr>
          <w:rFonts w:hint="eastAsia" w:ascii="Times New Roman" w:hAnsi="Times New Roman" w:eastAsia="宋体" w:cs="黑体"/>
          <w:szCs w:val="32"/>
        </w:rPr>
        <w:t>第五章</w:t>
      </w:r>
      <w:r>
        <w:rPr>
          <w:rFonts w:ascii="Times New Roman" w:hAnsi="Times New Roman" w:eastAsia="宋体" w:cs="黑体"/>
          <w:szCs w:val="32"/>
        </w:rPr>
        <w:t xml:space="preserve"> </w:t>
      </w:r>
      <w:r>
        <w:rPr>
          <w:rFonts w:hint="eastAsia" w:ascii="Times New Roman" w:hAnsi="Times New Roman" w:eastAsia="宋体" w:cs="黑体"/>
          <w:szCs w:val="32"/>
        </w:rPr>
        <w:t>主要任务</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_Toc6199 </w:instrText>
      </w:r>
      <w:r>
        <w:rPr>
          <w:rFonts w:ascii="Times New Roman" w:hAnsi="Times New Roman" w:eastAsia="宋体"/>
        </w:rPr>
        <w:fldChar w:fldCharType="separate"/>
      </w:r>
      <w:r>
        <w:rPr>
          <w:rFonts w:ascii="Times New Roman" w:hAnsi="Times New Roman" w:eastAsia="宋体"/>
        </w:rPr>
        <w:t>19</w:t>
      </w:r>
      <w:r>
        <w:rPr>
          <w:rFonts w:ascii="Times New Roman" w:hAnsi="Times New Roman" w:eastAsia="宋体"/>
        </w:rPr>
        <w:fldChar w:fldCharType="end"/>
      </w:r>
      <w:r>
        <w:rPr>
          <w:rFonts w:ascii="Times New Roman" w:hAnsi="Times New Roman" w:eastAsia="宋体"/>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"_Toc11219" </w:instrText>
      </w:r>
      <w:r>
        <w:fldChar w:fldCharType="separate"/>
      </w:r>
      <w:r>
        <w:rPr>
          <w:rFonts w:hint="eastAsia" w:ascii="Times New Roman" w:hAnsi="Times New Roman" w:eastAsia="宋体"/>
          <w:sz w:val="28"/>
          <w:szCs w:val="30"/>
        </w:rPr>
        <w:t>一、目标落实</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_Toc11219 </w:instrText>
      </w:r>
      <w:r>
        <w:rPr>
          <w:rFonts w:ascii="Times New Roman" w:hAnsi="Times New Roman" w:eastAsia="宋体"/>
          <w:sz w:val="28"/>
        </w:rPr>
        <w:fldChar w:fldCharType="separate"/>
      </w:r>
      <w:r>
        <w:rPr>
          <w:rFonts w:ascii="Times New Roman" w:hAnsi="Times New Roman" w:eastAsia="宋体"/>
          <w:sz w:val="28"/>
        </w:rPr>
        <w:t>19</w:t>
      </w:r>
      <w:r>
        <w:rPr>
          <w:rFonts w:ascii="Times New Roman" w:hAnsi="Times New Roman" w:eastAsia="宋体"/>
          <w:sz w:val="28"/>
        </w:rPr>
        <w:fldChar w:fldCharType="end"/>
      </w:r>
      <w:r>
        <w:rPr>
          <w:rFonts w:ascii="Times New Roman" w:hAnsi="Times New Roman" w:eastAsia="宋体"/>
          <w:sz w:val="28"/>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"_Toc11639" </w:instrText>
      </w:r>
      <w:r>
        <w:fldChar w:fldCharType="separate"/>
      </w:r>
      <w:r>
        <w:rPr>
          <w:rFonts w:hint="eastAsia" w:ascii="Times New Roman" w:hAnsi="Times New Roman" w:eastAsia="宋体"/>
          <w:sz w:val="28"/>
          <w:szCs w:val="30"/>
        </w:rPr>
        <w:t>二、分解规划</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_Toc11639 </w:instrText>
      </w:r>
      <w:r>
        <w:rPr>
          <w:rFonts w:ascii="Times New Roman" w:hAnsi="Times New Roman" w:eastAsia="宋体"/>
          <w:sz w:val="28"/>
        </w:rPr>
        <w:fldChar w:fldCharType="separate"/>
      </w:r>
      <w:r>
        <w:rPr>
          <w:rFonts w:ascii="Times New Roman" w:hAnsi="Times New Roman" w:eastAsia="宋体"/>
          <w:sz w:val="28"/>
        </w:rPr>
        <w:t>20</w:t>
      </w:r>
      <w:r>
        <w:rPr>
          <w:rFonts w:ascii="Times New Roman" w:hAnsi="Times New Roman" w:eastAsia="宋体"/>
          <w:sz w:val="28"/>
        </w:rPr>
        <w:fldChar w:fldCharType="end"/>
      </w:r>
      <w:r>
        <w:rPr>
          <w:rFonts w:ascii="Times New Roman" w:hAnsi="Times New Roman" w:eastAsia="宋体"/>
          <w:sz w:val="28"/>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"_Toc24598" </w:instrText>
      </w:r>
      <w:r>
        <w:fldChar w:fldCharType="separate"/>
      </w:r>
      <w:r>
        <w:rPr>
          <w:rFonts w:hint="eastAsia" w:ascii="Times New Roman" w:hAnsi="Times New Roman" w:eastAsia="宋体"/>
          <w:sz w:val="28"/>
          <w:szCs w:val="30"/>
        </w:rPr>
        <w:t>三、产能落地：产能需求测算</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_Toc24598 </w:instrText>
      </w:r>
      <w:r>
        <w:rPr>
          <w:rFonts w:ascii="Times New Roman" w:hAnsi="Times New Roman" w:eastAsia="宋体"/>
          <w:sz w:val="28"/>
        </w:rPr>
        <w:fldChar w:fldCharType="separate"/>
      </w:r>
      <w:r>
        <w:rPr>
          <w:rFonts w:ascii="Times New Roman" w:hAnsi="Times New Roman" w:eastAsia="宋体"/>
          <w:sz w:val="28"/>
        </w:rPr>
        <w:t>22</w:t>
      </w:r>
      <w:r>
        <w:rPr>
          <w:rFonts w:ascii="Times New Roman" w:hAnsi="Times New Roman" w:eastAsia="宋体"/>
          <w:sz w:val="28"/>
        </w:rPr>
        <w:fldChar w:fldCharType="end"/>
      </w:r>
      <w:r>
        <w:rPr>
          <w:rFonts w:ascii="Times New Roman" w:hAnsi="Times New Roman" w:eastAsia="宋体"/>
          <w:sz w:val="28"/>
        </w:rPr>
        <w:fldChar w:fldCharType="end"/>
      </w:r>
    </w:p>
    <w:p>
      <w:pPr>
        <w:pStyle w:val="9"/>
        <w:tabs>
          <w:tab w:val="right" w:leader="dot" w:pos="8306"/>
        </w:tabs>
        <w:spacing w:line="240" w:lineRule="auto"/>
        <w:rPr>
          <w:rFonts w:ascii="Times New Roman" w:hAnsi="Times New Roman" w:eastAsia="宋体"/>
        </w:rPr>
      </w:pPr>
      <w:r>
        <w:fldChar w:fldCharType="begin"/>
      </w:r>
      <w:r>
        <w:instrText xml:space="preserve"> HYPERLINK \l "_Toc6851" </w:instrText>
      </w:r>
      <w:r>
        <w:fldChar w:fldCharType="separate"/>
      </w:r>
      <w:r>
        <w:rPr>
          <w:rFonts w:hint="eastAsia" w:ascii="Times New Roman" w:hAnsi="Times New Roman" w:eastAsia="宋体" w:cs="黑体"/>
          <w:szCs w:val="32"/>
        </w:rPr>
        <w:t>第六章</w:t>
      </w:r>
      <w:r>
        <w:rPr>
          <w:rFonts w:ascii="Times New Roman" w:hAnsi="Times New Roman" w:eastAsia="宋体" w:cs="黑体"/>
          <w:szCs w:val="32"/>
        </w:rPr>
        <w:t xml:space="preserve"> </w:t>
      </w:r>
      <w:r>
        <w:rPr>
          <w:rFonts w:hint="eastAsia" w:ascii="Times New Roman" w:hAnsi="Times New Roman" w:eastAsia="宋体" w:cs="黑体"/>
          <w:szCs w:val="32"/>
        </w:rPr>
        <w:t>保障措施</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_Toc6851 </w:instrText>
      </w:r>
      <w:r>
        <w:rPr>
          <w:rFonts w:ascii="Times New Roman" w:hAnsi="Times New Roman" w:eastAsia="宋体"/>
        </w:rPr>
        <w:fldChar w:fldCharType="separate"/>
      </w:r>
      <w:r>
        <w:rPr>
          <w:rFonts w:ascii="Times New Roman" w:hAnsi="Times New Roman" w:eastAsia="宋体"/>
        </w:rPr>
        <w:t>27</w:t>
      </w:r>
      <w:r>
        <w:rPr>
          <w:rFonts w:ascii="Times New Roman" w:hAnsi="Times New Roman" w:eastAsia="宋体"/>
        </w:rPr>
        <w:fldChar w:fldCharType="end"/>
      </w:r>
      <w:r>
        <w:rPr>
          <w:rFonts w:ascii="Times New Roman" w:hAnsi="Times New Roman" w:eastAsia="宋体"/>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"_Toc18316" </w:instrText>
      </w:r>
      <w:r>
        <w:fldChar w:fldCharType="separate"/>
      </w:r>
      <w:r>
        <w:rPr>
          <w:rFonts w:hint="eastAsia" w:ascii="Times New Roman" w:hAnsi="Times New Roman" w:eastAsia="宋体"/>
          <w:sz w:val="28"/>
          <w:szCs w:val="30"/>
        </w:rPr>
        <w:t>一、健全工作机制</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_Toc18316 </w:instrText>
      </w:r>
      <w:r>
        <w:rPr>
          <w:rFonts w:ascii="Times New Roman" w:hAnsi="Times New Roman" w:eastAsia="宋体"/>
          <w:sz w:val="28"/>
        </w:rPr>
        <w:fldChar w:fldCharType="separate"/>
      </w:r>
      <w:r>
        <w:rPr>
          <w:rFonts w:ascii="Times New Roman" w:hAnsi="Times New Roman" w:eastAsia="宋体"/>
          <w:sz w:val="28"/>
        </w:rPr>
        <w:t>27</w:t>
      </w:r>
      <w:r>
        <w:rPr>
          <w:rFonts w:ascii="Times New Roman" w:hAnsi="Times New Roman" w:eastAsia="宋体"/>
          <w:sz w:val="28"/>
        </w:rPr>
        <w:fldChar w:fldCharType="end"/>
      </w:r>
      <w:r>
        <w:rPr>
          <w:rFonts w:ascii="Times New Roman" w:hAnsi="Times New Roman" w:eastAsia="宋体"/>
          <w:sz w:val="28"/>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"_Toc28014" </w:instrText>
      </w:r>
      <w:r>
        <w:fldChar w:fldCharType="separate"/>
      </w:r>
      <w:r>
        <w:rPr>
          <w:rFonts w:hint="eastAsia" w:ascii="Times New Roman" w:hAnsi="Times New Roman" w:eastAsia="宋体"/>
          <w:sz w:val="28"/>
          <w:szCs w:val="30"/>
        </w:rPr>
        <w:t>二、加强考核监督</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_Toc28014 </w:instrText>
      </w:r>
      <w:r>
        <w:rPr>
          <w:rFonts w:ascii="Times New Roman" w:hAnsi="Times New Roman" w:eastAsia="宋体"/>
          <w:sz w:val="28"/>
        </w:rPr>
        <w:fldChar w:fldCharType="separate"/>
      </w:r>
      <w:r>
        <w:rPr>
          <w:rFonts w:ascii="Times New Roman" w:hAnsi="Times New Roman" w:eastAsia="宋体"/>
          <w:sz w:val="28"/>
        </w:rPr>
        <w:t>28</w:t>
      </w:r>
      <w:r>
        <w:rPr>
          <w:rFonts w:ascii="Times New Roman" w:hAnsi="Times New Roman" w:eastAsia="宋体"/>
          <w:sz w:val="28"/>
        </w:rPr>
        <w:fldChar w:fldCharType="end"/>
      </w:r>
      <w:r>
        <w:rPr>
          <w:rFonts w:ascii="Times New Roman" w:hAnsi="Times New Roman" w:eastAsia="宋体"/>
          <w:sz w:val="28"/>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"_Toc28417" </w:instrText>
      </w:r>
      <w:r>
        <w:fldChar w:fldCharType="separate"/>
      </w:r>
      <w:r>
        <w:rPr>
          <w:rFonts w:hint="eastAsia" w:ascii="Times New Roman" w:hAnsi="Times New Roman" w:eastAsia="宋体"/>
          <w:sz w:val="28"/>
          <w:szCs w:val="30"/>
        </w:rPr>
        <w:t>三、优化审批制度</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_Toc28417 </w:instrText>
      </w:r>
      <w:r>
        <w:rPr>
          <w:rFonts w:ascii="Times New Roman" w:hAnsi="Times New Roman" w:eastAsia="宋体"/>
          <w:sz w:val="28"/>
        </w:rPr>
        <w:fldChar w:fldCharType="separate"/>
      </w:r>
      <w:r>
        <w:rPr>
          <w:rFonts w:ascii="Times New Roman" w:hAnsi="Times New Roman" w:eastAsia="宋体"/>
          <w:sz w:val="28"/>
        </w:rPr>
        <w:t>28</w:t>
      </w:r>
      <w:r>
        <w:rPr>
          <w:rFonts w:ascii="Times New Roman" w:hAnsi="Times New Roman" w:eastAsia="宋体"/>
          <w:sz w:val="28"/>
        </w:rPr>
        <w:fldChar w:fldCharType="end"/>
      </w:r>
      <w:r>
        <w:rPr>
          <w:rFonts w:ascii="Times New Roman" w:hAnsi="Times New Roman" w:eastAsia="宋体"/>
          <w:sz w:val="28"/>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"_Toc26833" </w:instrText>
      </w:r>
      <w:r>
        <w:fldChar w:fldCharType="separate"/>
      </w:r>
      <w:r>
        <w:rPr>
          <w:rFonts w:hint="eastAsia" w:ascii="Times New Roman" w:hAnsi="Times New Roman" w:eastAsia="宋体"/>
          <w:sz w:val="28"/>
          <w:szCs w:val="30"/>
        </w:rPr>
        <w:t>四、加强质量监管</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_Toc26833 </w:instrText>
      </w:r>
      <w:r>
        <w:rPr>
          <w:rFonts w:ascii="Times New Roman" w:hAnsi="Times New Roman" w:eastAsia="宋体"/>
          <w:sz w:val="28"/>
        </w:rPr>
        <w:fldChar w:fldCharType="separate"/>
      </w:r>
      <w:r>
        <w:rPr>
          <w:rFonts w:ascii="Times New Roman" w:hAnsi="Times New Roman" w:eastAsia="宋体"/>
          <w:sz w:val="28"/>
        </w:rPr>
        <w:t>29</w:t>
      </w:r>
      <w:r>
        <w:rPr>
          <w:rFonts w:ascii="Times New Roman" w:hAnsi="Times New Roman" w:eastAsia="宋体"/>
          <w:sz w:val="28"/>
        </w:rPr>
        <w:fldChar w:fldCharType="end"/>
      </w:r>
      <w:r>
        <w:rPr>
          <w:rFonts w:ascii="Times New Roman" w:hAnsi="Times New Roman" w:eastAsia="宋体"/>
          <w:sz w:val="28"/>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"_Toc14139" </w:instrText>
      </w:r>
      <w:r>
        <w:fldChar w:fldCharType="separate"/>
      </w:r>
      <w:r>
        <w:rPr>
          <w:rFonts w:hint="eastAsia" w:ascii="Times New Roman" w:hAnsi="Times New Roman" w:eastAsia="宋体"/>
          <w:sz w:val="28"/>
          <w:szCs w:val="30"/>
        </w:rPr>
        <w:t>五、完善激励政策</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_Toc14139 </w:instrText>
      </w:r>
      <w:r>
        <w:rPr>
          <w:rFonts w:ascii="Times New Roman" w:hAnsi="Times New Roman" w:eastAsia="宋体"/>
          <w:sz w:val="28"/>
        </w:rPr>
        <w:fldChar w:fldCharType="separate"/>
      </w:r>
      <w:r>
        <w:rPr>
          <w:rFonts w:ascii="Times New Roman" w:hAnsi="Times New Roman" w:eastAsia="宋体"/>
          <w:sz w:val="28"/>
        </w:rPr>
        <w:t>30</w:t>
      </w:r>
      <w:r>
        <w:rPr>
          <w:rFonts w:ascii="Times New Roman" w:hAnsi="Times New Roman" w:eastAsia="宋体"/>
          <w:sz w:val="28"/>
        </w:rPr>
        <w:fldChar w:fldCharType="end"/>
      </w:r>
      <w:r>
        <w:rPr>
          <w:rFonts w:ascii="Times New Roman" w:hAnsi="Times New Roman" w:eastAsia="宋体"/>
          <w:sz w:val="28"/>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"_Toc12827" </w:instrText>
      </w:r>
      <w:r>
        <w:fldChar w:fldCharType="separate"/>
      </w:r>
      <w:r>
        <w:rPr>
          <w:rFonts w:hint="eastAsia" w:ascii="Times New Roman" w:hAnsi="Times New Roman" w:eastAsia="宋体"/>
          <w:sz w:val="28"/>
          <w:szCs w:val="30"/>
        </w:rPr>
        <w:t>六、强化资金保障</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_Toc12827 </w:instrText>
      </w:r>
      <w:r>
        <w:rPr>
          <w:rFonts w:ascii="Times New Roman" w:hAnsi="Times New Roman" w:eastAsia="宋体"/>
          <w:sz w:val="28"/>
        </w:rPr>
        <w:fldChar w:fldCharType="separate"/>
      </w:r>
      <w:r>
        <w:rPr>
          <w:rFonts w:ascii="Times New Roman" w:hAnsi="Times New Roman" w:eastAsia="宋体"/>
          <w:sz w:val="28"/>
        </w:rPr>
        <w:t>31</w:t>
      </w:r>
      <w:r>
        <w:rPr>
          <w:rFonts w:ascii="Times New Roman" w:hAnsi="Times New Roman" w:eastAsia="宋体"/>
          <w:sz w:val="28"/>
        </w:rPr>
        <w:fldChar w:fldCharType="end"/>
      </w:r>
      <w:r>
        <w:rPr>
          <w:rFonts w:ascii="Times New Roman" w:hAnsi="Times New Roman" w:eastAsia="宋体"/>
          <w:sz w:val="28"/>
        </w:rPr>
        <w:fldChar w:fldCharType="end"/>
      </w:r>
    </w:p>
    <w:p>
      <w:pPr>
        <w:pStyle w:val="11"/>
        <w:tabs>
          <w:tab w:val="right" w:leader="dot" w:pos="8306"/>
        </w:tabs>
        <w:ind w:left="0" w:leftChars="0" w:firstLine="420" w:firstLineChars="200"/>
        <w:rPr>
          <w:rFonts w:ascii="Times New Roman" w:hAnsi="Times New Roman" w:eastAsia="宋体"/>
          <w:sz w:val="28"/>
        </w:rPr>
      </w:pPr>
      <w:r>
        <w:fldChar w:fldCharType="begin"/>
      </w:r>
      <w:r>
        <w:instrText xml:space="preserve"> HYPERLINK \l "_Toc524" </w:instrText>
      </w:r>
      <w:r>
        <w:fldChar w:fldCharType="separate"/>
      </w:r>
      <w:r>
        <w:rPr>
          <w:rFonts w:hint="eastAsia" w:ascii="Times New Roman" w:hAnsi="Times New Roman" w:eastAsia="宋体"/>
          <w:sz w:val="28"/>
          <w:szCs w:val="30"/>
        </w:rPr>
        <w:t>七、强化队伍建设</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_Toc524 </w:instrText>
      </w:r>
      <w:r>
        <w:rPr>
          <w:rFonts w:ascii="Times New Roman" w:hAnsi="Times New Roman" w:eastAsia="宋体"/>
          <w:sz w:val="28"/>
        </w:rPr>
        <w:fldChar w:fldCharType="separate"/>
      </w:r>
      <w:r>
        <w:rPr>
          <w:rFonts w:ascii="Times New Roman" w:hAnsi="Times New Roman" w:eastAsia="宋体"/>
          <w:sz w:val="28"/>
        </w:rPr>
        <w:t>31</w:t>
      </w:r>
      <w:r>
        <w:rPr>
          <w:rFonts w:ascii="Times New Roman" w:hAnsi="Times New Roman" w:eastAsia="宋体"/>
          <w:sz w:val="28"/>
        </w:rPr>
        <w:fldChar w:fldCharType="end"/>
      </w:r>
      <w:r>
        <w:rPr>
          <w:rFonts w:ascii="Times New Roman" w:hAnsi="Times New Roman" w:eastAsia="宋体"/>
          <w:sz w:val="28"/>
        </w:rPr>
        <w:fldChar w:fldCharType="end"/>
      </w:r>
    </w:p>
    <w:p>
      <w:pPr>
        <w:pStyle w:val="11"/>
        <w:tabs>
          <w:tab w:val="right" w:leader="dot" w:pos="8306"/>
        </w:tabs>
        <w:ind w:left="0" w:leftChars="0" w:firstLine="420" w:firstLineChars="200"/>
      </w:pPr>
      <w:r>
        <w:fldChar w:fldCharType="begin"/>
      </w:r>
      <w:r>
        <w:instrText xml:space="preserve"> HYPERLINK \l "_Toc14267" </w:instrText>
      </w:r>
      <w:r>
        <w:fldChar w:fldCharType="separate"/>
      </w:r>
      <w:r>
        <w:rPr>
          <w:rFonts w:hint="eastAsia" w:ascii="Times New Roman" w:hAnsi="Times New Roman" w:eastAsia="宋体"/>
          <w:sz w:val="28"/>
          <w:szCs w:val="30"/>
        </w:rPr>
        <w:t>八、加强宣传推广</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_Toc14267 </w:instrText>
      </w:r>
      <w:r>
        <w:rPr>
          <w:rFonts w:ascii="Times New Roman" w:hAnsi="Times New Roman" w:eastAsia="宋体"/>
          <w:sz w:val="28"/>
        </w:rPr>
        <w:fldChar w:fldCharType="separate"/>
      </w:r>
      <w:r>
        <w:rPr>
          <w:rFonts w:ascii="Times New Roman" w:hAnsi="Times New Roman" w:eastAsia="宋体"/>
          <w:sz w:val="28"/>
        </w:rPr>
        <w:t>32</w:t>
      </w:r>
      <w:r>
        <w:rPr>
          <w:rFonts w:ascii="Times New Roman" w:hAnsi="Times New Roman" w:eastAsia="宋体"/>
          <w:sz w:val="28"/>
        </w:rPr>
        <w:fldChar w:fldCharType="end"/>
      </w:r>
      <w:r>
        <w:rPr>
          <w:rFonts w:ascii="Times New Roman" w:hAnsi="Times New Roman" w:eastAsia="宋体"/>
          <w:sz w:val="28"/>
        </w:rPr>
        <w:fldChar w:fldCharType="end"/>
      </w:r>
    </w:p>
    <w:p>
      <w:pPr>
        <w:pStyle w:val="2"/>
        <w:spacing w:line="360" w:lineRule="auto"/>
        <w:jc w:val="center"/>
        <w:rPr>
          <w:rFonts w:ascii="Times New Roman" w:hAnsi="Times New Roman" w:eastAsia="仿宋" w:cs="Times New Roman"/>
          <w:bCs/>
          <w:color w:val="000000" w:themeColor="text1"/>
          <w:szCs w:val="28"/>
          <w14:textFill>
            <w14:solidFill>
              <w14:schemeClr w14:val="tx1"/>
            </w14:solidFill>
          </w14:textFill>
        </w:rPr>
        <w:sectPr>
          <w:footerReference r:id="rId4" w:type="default"/>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仿宋" w:cs="仿宋"/>
          <w:bCs/>
          <w:color w:val="000000" w:themeColor="text1"/>
          <w:sz w:val="28"/>
          <w:szCs w:val="28"/>
          <w14:textFill>
            <w14:solidFill>
              <w14:schemeClr w14:val="tx1"/>
            </w14:solidFill>
          </w14:textFill>
        </w:rPr>
        <w:fldChar w:fldCharType="end"/>
      </w:r>
    </w:p>
    <w:p>
      <w:pPr>
        <w:pStyle w:val="2"/>
        <w:jc w:val="center"/>
        <w:rPr>
          <w:rFonts w:ascii="Times New Roman" w:hAnsi="Times New Roman" w:eastAsia="黑体" w:cs="黑体"/>
          <w:color w:val="000000" w:themeColor="text1"/>
          <w:sz w:val="32"/>
          <w:szCs w:val="32"/>
          <w14:textFill>
            <w14:solidFill>
              <w14:schemeClr w14:val="tx1"/>
            </w14:solidFill>
          </w14:textFill>
        </w:rPr>
      </w:pPr>
      <w:bookmarkStart w:id="0" w:name="_Toc9188"/>
      <w:bookmarkStart w:id="1" w:name="_Toc332"/>
      <w:bookmarkStart w:id="2" w:name="_Toc529282330"/>
      <w:r>
        <w:rPr>
          <w:rFonts w:hint="eastAsia" w:ascii="Times New Roman" w:hAnsi="Times New Roman" w:eastAsia="黑体" w:cs="黑体"/>
          <w:color w:val="000000" w:themeColor="text1"/>
          <w:sz w:val="32"/>
          <w:szCs w:val="32"/>
          <w14:textFill>
            <w14:solidFill>
              <w14:schemeClr w14:val="tx1"/>
            </w14:solidFill>
          </w14:textFill>
        </w:rPr>
        <w:t>第一章 总则</w:t>
      </w:r>
      <w:bookmarkEnd w:id="0"/>
      <w:bookmarkEnd w:id="1"/>
      <w:bookmarkEnd w:id="2"/>
    </w:p>
    <w:p>
      <w:pPr>
        <w:pStyle w:val="3"/>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3" w:name="_Toc27999"/>
      <w:bookmarkStart w:id="4" w:name="_Toc529282331"/>
      <w:bookmarkStart w:id="5" w:name="_Toc25152"/>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一、规划范围</w:t>
      </w:r>
      <w:bookmarkEnd w:id="3"/>
      <w:bookmarkEnd w:id="4"/>
      <w:bookmarkEnd w:id="5"/>
    </w:p>
    <w:p>
      <w:pPr>
        <w:spacing w:line="360" w:lineRule="auto"/>
        <w:ind w:firstLine="549" w:firstLineChars="196"/>
        <w:rPr>
          <w:rFonts w:ascii="Times New Roman" w:hAnsi="Times New Roman" w:eastAsia="仿宋_GB2312"/>
          <w:color w:val="000000" w:themeColor="text1"/>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规划范围包括</w:t>
      </w:r>
      <w:r>
        <w:rPr>
          <w:rFonts w:hint="eastAsia" w:ascii="Times New Roman" w:hAnsi="Times New Roman" w:eastAsia="仿宋_GB2312" w:cs="Times New Roman"/>
          <w:color w:val="000000" w:themeColor="text1"/>
          <w:sz w:val="28"/>
          <w:szCs w:val="28"/>
          <w14:textFill>
            <w14:solidFill>
              <w14:schemeClr w14:val="tx1"/>
            </w14:solidFill>
          </w14:textFill>
        </w:rPr>
        <w:t>五指山</w:t>
      </w:r>
      <w:r>
        <w:rPr>
          <w:rFonts w:ascii="Times New Roman" w:hAnsi="Times New Roman" w:eastAsia="仿宋_GB2312" w:cs="Times New Roman"/>
          <w:color w:val="000000" w:themeColor="text1"/>
          <w:sz w:val="28"/>
          <w:szCs w:val="28"/>
          <w14:textFill>
            <w14:solidFill>
              <w14:schemeClr w14:val="tx1"/>
            </w14:solidFill>
          </w14:textFill>
        </w:rPr>
        <w:t>市所管辖的：</w:t>
      </w:r>
      <w:r>
        <w:rPr>
          <w:rFonts w:hint="eastAsia" w:ascii="Times New Roman" w:hAnsi="Times New Roman" w:eastAsia="仿宋_GB2312" w:cs="Times New Roman"/>
          <w:color w:val="000000" w:themeColor="text1"/>
          <w:sz w:val="28"/>
          <w:szCs w:val="28"/>
          <w14:textFill>
            <w14:solidFill>
              <w14:schemeClr w14:val="tx1"/>
            </w14:solidFill>
          </w14:textFill>
        </w:rPr>
        <w:t>通什镇、毛阳镇、南圣镇、番阳镇、毛道乡、水满乡、畅好乡</w:t>
      </w:r>
      <w:r>
        <w:rPr>
          <w:rFonts w:ascii="Times New Roman" w:hAnsi="Times New Roman" w:eastAsia="仿宋_GB2312" w:cs="Times New Roman"/>
          <w:color w:val="000000" w:themeColor="text1"/>
          <w:sz w:val="28"/>
          <w:szCs w:val="28"/>
          <w14:textFill>
            <w14:solidFill>
              <w14:schemeClr w14:val="tx1"/>
            </w14:solidFill>
          </w14:textFill>
        </w:rPr>
        <w:t>。</w:t>
      </w:r>
    </w:p>
    <w:p>
      <w:pPr>
        <w:pStyle w:val="3"/>
        <w:numPr>
          <w:ilvl w:val="255"/>
          <w:numId w:val="0"/>
        </w:numPr>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6" w:name="_Toc6773"/>
      <w:bookmarkStart w:id="7" w:name="_Toc4546"/>
      <w:bookmarkStart w:id="8" w:name="_Toc529282332"/>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二、规划时限</w:t>
      </w:r>
      <w:bookmarkEnd w:id="6"/>
      <w:bookmarkEnd w:id="7"/>
      <w:bookmarkEnd w:id="8"/>
    </w:p>
    <w:p>
      <w:pPr>
        <w:ind w:firstLine="560" w:firstLineChars="200"/>
        <w:rPr>
          <w:rFonts w:ascii="Times New Roman" w:hAnsi="Times New Roman"/>
          <w:color w:val="000000" w:themeColor="text1"/>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规划年限为201</w:t>
      </w:r>
      <w:r>
        <w:rPr>
          <w:rFonts w:hint="eastAsia" w:ascii="Times New Roman" w:hAnsi="Times New Roman" w:eastAsia="仿宋_GB2312" w:cs="Times New Roman"/>
          <w:color w:val="000000" w:themeColor="text1"/>
          <w:sz w:val="28"/>
          <w:szCs w:val="28"/>
          <w14:textFill>
            <w14:solidFill>
              <w14:schemeClr w14:val="tx1"/>
            </w14:solidFill>
          </w14:textFill>
        </w:rPr>
        <w:t>8</w:t>
      </w:r>
      <w:r>
        <w:rPr>
          <w:rFonts w:ascii="Times New Roman" w:hAnsi="Times New Roman" w:eastAsia="仿宋_GB2312" w:cs="Times New Roman"/>
          <w:color w:val="000000" w:themeColor="text1"/>
          <w:sz w:val="28"/>
          <w:szCs w:val="28"/>
          <w14:textFill>
            <w14:solidFill>
              <w14:schemeClr w14:val="tx1"/>
            </w14:solidFill>
          </w14:textFill>
        </w:rPr>
        <w:t>~202</w:t>
      </w:r>
      <w:r>
        <w:rPr>
          <w:rFonts w:hint="eastAsia" w:ascii="Times New Roman" w:hAnsi="Times New Roman" w:eastAsia="仿宋_GB2312" w:cs="Times New Roman"/>
          <w:color w:val="000000" w:themeColor="text1"/>
          <w:sz w:val="28"/>
          <w:szCs w:val="28"/>
          <w14:textFill>
            <w14:solidFill>
              <w14:schemeClr w14:val="tx1"/>
            </w14:solidFill>
          </w14:textFill>
        </w:rPr>
        <w:t>2</w:t>
      </w:r>
      <w:r>
        <w:rPr>
          <w:rFonts w:ascii="Times New Roman" w:hAnsi="Times New Roman" w:eastAsia="仿宋_GB2312" w:cs="Times New Roman"/>
          <w:color w:val="000000" w:themeColor="text1"/>
          <w:sz w:val="28"/>
          <w:szCs w:val="28"/>
          <w14:textFill>
            <w14:solidFill>
              <w14:schemeClr w14:val="tx1"/>
            </w14:solidFill>
          </w14:textFill>
        </w:rPr>
        <w:t>年，明确</w:t>
      </w:r>
      <w:r>
        <w:rPr>
          <w:rFonts w:hint="eastAsia" w:ascii="Times New Roman" w:hAnsi="Times New Roman" w:eastAsia="仿宋_GB2312" w:cs="Times New Roman"/>
          <w:color w:val="000000" w:themeColor="text1"/>
          <w:sz w:val="28"/>
          <w:szCs w:val="28"/>
          <w14:textFill>
            <w14:solidFill>
              <w14:schemeClr w14:val="tx1"/>
            </w14:solidFill>
          </w14:textFill>
        </w:rPr>
        <w:t>五指山</w:t>
      </w:r>
      <w:r>
        <w:rPr>
          <w:rFonts w:ascii="Times New Roman" w:hAnsi="Times New Roman" w:eastAsia="仿宋_GB2312" w:cs="Times New Roman"/>
          <w:color w:val="000000" w:themeColor="text1"/>
          <w:sz w:val="28"/>
          <w:szCs w:val="28"/>
          <w14:textFill>
            <w14:solidFill>
              <w14:schemeClr w14:val="tx1"/>
            </w14:solidFill>
          </w14:textFill>
        </w:rPr>
        <w:t>市</w:t>
      </w:r>
      <w:r>
        <w:rPr>
          <w:rFonts w:hint="eastAsia" w:ascii="Times New Roman" w:hAnsi="Times New Roman" w:eastAsia="仿宋_GB2312" w:cs="Times New Roman"/>
          <w:color w:val="000000" w:themeColor="text1"/>
          <w:sz w:val="28"/>
          <w:szCs w:val="28"/>
          <w14:textFill>
            <w14:solidFill>
              <w14:schemeClr w14:val="tx1"/>
            </w14:solidFill>
          </w14:textFill>
        </w:rPr>
        <w:t>装配式建筑</w:t>
      </w:r>
      <w:r>
        <w:rPr>
          <w:rFonts w:ascii="Times New Roman" w:hAnsi="Times New Roman" w:eastAsia="仿宋_GB2312" w:cs="Times New Roman"/>
          <w:color w:val="000000" w:themeColor="text1"/>
          <w:sz w:val="28"/>
          <w:szCs w:val="28"/>
          <w14:textFill>
            <w14:solidFill>
              <w14:schemeClr w14:val="tx1"/>
            </w14:solidFill>
          </w14:textFill>
        </w:rPr>
        <w:t>专项规划目标和重点工作任务。</w:t>
      </w:r>
    </w:p>
    <w:p>
      <w:pPr>
        <w:pStyle w:val="3"/>
        <w:numPr>
          <w:ilvl w:val="255"/>
          <w:numId w:val="0"/>
        </w:numPr>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9" w:name="_Toc8362"/>
      <w:bookmarkStart w:id="10" w:name="_Toc529282333"/>
      <w:bookmarkStart w:id="11" w:name="_Toc3126"/>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三、规划依据</w:t>
      </w:r>
      <w:bookmarkEnd w:id="9"/>
      <w:bookmarkEnd w:id="10"/>
      <w:bookmarkEnd w:id="11"/>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bookmarkStart w:id="12" w:name="_Toc19371"/>
      <w:bookmarkStart w:id="13" w:name="_Toc509571549"/>
      <w:bookmarkStart w:id="14" w:name="_Toc346465473"/>
      <w:bookmarkStart w:id="15" w:name="_Toc11337"/>
      <w:bookmarkStart w:id="16" w:name="_Toc346717797"/>
      <w:bookmarkStart w:id="17" w:name="_Toc14619"/>
      <w:bookmarkStart w:id="18" w:name="_Toc342491557"/>
      <w:bookmarkStart w:id="19" w:name="_Toc494555753"/>
      <w:bookmarkStart w:id="20" w:name="_Toc343691956"/>
      <w:bookmarkStart w:id="21" w:name="_Toc343617548"/>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（一）国家层面</w:t>
      </w:r>
      <w:bookmarkEnd w:id="12"/>
      <w:bookmarkEnd w:id="13"/>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1</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全国人民代表大会常务委员会《中华人民共和国建筑法》（中华人民共和国主席令第四十六号，</w:t>
      </w:r>
      <w:r>
        <w:rPr>
          <w:rFonts w:ascii="Times New Roman" w:hAnsi="Times New Roman" w:eastAsia="仿宋_GB2312" w:cs="Times New Roman"/>
          <w:color w:val="000000" w:themeColor="text1"/>
          <w:sz w:val="28"/>
          <w:szCs w:val="28"/>
          <w14:textFill>
            <w14:solidFill>
              <w14:schemeClr w14:val="tx1"/>
            </w14:solidFill>
          </w14:textFill>
        </w:rPr>
        <w:t>2011</w:t>
      </w:r>
      <w:r>
        <w:rPr>
          <w:rFonts w:hint="eastAsia" w:ascii="Times New Roman" w:hAnsi="Times New Roman" w:eastAsia="仿宋_GB2312" w:cs="Times New Roman"/>
          <w:color w:val="000000" w:themeColor="text1"/>
          <w:sz w:val="28"/>
          <w:szCs w:val="28"/>
          <w14:textFill>
            <w14:solidFill>
              <w14:schemeClr w14:val="tx1"/>
            </w14:solidFill>
          </w14:textFill>
        </w:rPr>
        <w:t>年</w:t>
      </w:r>
      <w:r>
        <w:rPr>
          <w:rFonts w:ascii="Times New Roman" w:hAnsi="Times New Roman" w:eastAsia="仿宋_GB2312" w:cs="Times New Roman"/>
          <w:color w:val="000000" w:themeColor="text1"/>
          <w:sz w:val="28"/>
          <w:szCs w:val="28"/>
          <w14:textFill>
            <w14:solidFill>
              <w14:schemeClr w14:val="tx1"/>
            </w14:solidFill>
          </w14:textFill>
        </w:rPr>
        <w:t>7</w:t>
      </w:r>
      <w:r>
        <w:rPr>
          <w:rFonts w:hint="eastAsia" w:ascii="Times New Roman" w:hAnsi="Times New Roman" w:eastAsia="仿宋_GB2312" w:cs="Times New Roman"/>
          <w:color w:val="000000" w:themeColor="text1"/>
          <w:sz w:val="28"/>
          <w:szCs w:val="28"/>
          <w14:textFill>
            <w14:solidFill>
              <w14:schemeClr w14:val="tx1"/>
            </w14:solidFill>
          </w14:textFill>
        </w:rPr>
        <w:t>月</w:t>
      </w:r>
      <w:r>
        <w:rPr>
          <w:rFonts w:ascii="Times New Roman" w:hAnsi="Times New Roman" w:eastAsia="仿宋_GB2312" w:cs="Times New Roman"/>
          <w:color w:val="000000" w:themeColor="text1"/>
          <w:sz w:val="28"/>
          <w:szCs w:val="28"/>
          <w14:textFill>
            <w14:solidFill>
              <w14:schemeClr w14:val="tx1"/>
            </w14:solidFill>
          </w14:textFill>
        </w:rPr>
        <w:t>1</w:t>
      </w:r>
      <w:r>
        <w:rPr>
          <w:rFonts w:hint="eastAsia" w:ascii="Times New Roman" w:hAnsi="Times New Roman" w:eastAsia="仿宋_GB2312" w:cs="Times New Roman"/>
          <w:color w:val="000000" w:themeColor="text1"/>
          <w:sz w:val="28"/>
          <w:szCs w:val="28"/>
          <w14:textFill>
            <w14:solidFill>
              <w14:schemeClr w14:val="tx1"/>
            </w14:solidFill>
          </w14:textFill>
        </w:rPr>
        <w:t>日起施行）</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2.全国人民代表大会常务委员会《中华人民共和国城乡规划法》（中华人民共和国主席令第二十三号，</w:t>
      </w:r>
      <w:r>
        <w:rPr>
          <w:rFonts w:ascii="Times New Roman" w:hAnsi="Times New Roman" w:eastAsia="仿宋_GB2312" w:cs="Times New Roman"/>
          <w:color w:val="000000" w:themeColor="text1"/>
          <w:sz w:val="28"/>
          <w:szCs w:val="28"/>
          <w14:textFill>
            <w14:solidFill>
              <w14:schemeClr w14:val="tx1"/>
            </w14:solidFill>
          </w14:textFill>
        </w:rPr>
        <w:t>2015</w:t>
      </w:r>
      <w:r>
        <w:rPr>
          <w:rFonts w:hint="eastAsia" w:ascii="Times New Roman" w:hAnsi="Times New Roman" w:eastAsia="仿宋_GB2312" w:cs="Times New Roman"/>
          <w:color w:val="000000" w:themeColor="text1"/>
          <w:sz w:val="28"/>
          <w:szCs w:val="28"/>
          <w14:textFill>
            <w14:solidFill>
              <w14:schemeClr w14:val="tx1"/>
            </w14:solidFill>
          </w14:textFill>
        </w:rPr>
        <w:t>年</w:t>
      </w:r>
      <w:r>
        <w:rPr>
          <w:rFonts w:ascii="Times New Roman" w:hAnsi="Times New Roman" w:eastAsia="仿宋_GB2312" w:cs="Times New Roman"/>
          <w:color w:val="000000" w:themeColor="text1"/>
          <w:sz w:val="28"/>
          <w:szCs w:val="28"/>
          <w14:textFill>
            <w14:solidFill>
              <w14:schemeClr w14:val="tx1"/>
            </w14:solidFill>
          </w14:textFill>
        </w:rPr>
        <w:t>4</w:t>
      </w:r>
      <w:r>
        <w:rPr>
          <w:rFonts w:hint="eastAsia" w:ascii="Times New Roman" w:hAnsi="Times New Roman" w:eastAsia="仿宋_GB2312" w:cs="Times New Roman"/>
          <w:color w:val="000000" w:themeColor="text1"/>
          <w:sz w:val="28"/>
          <w:szCs w:val="28"/>
          <w14:textFill>
            <w14:solidFill>
              <w14:schemeClr w14:val="tx1"/>
            </w14:solidFill>
          </w14:textFill>
        </w:rPr>
        <w:t>月</w:t>
      </w:r>
      <w:r>
        <w:rPr>
          <w:rFonts w:ascii="Times New Roman" w:hAnsi="Times New Roman" w:eastAsia="仿宋_GB2312" w:cs="Times New Roman"/>
          <w:color w:val="000000" w:themeColor="text1"/>
          <w:sz w:val="28"/>
          <w:szCs w:val="28"/>
          <w14:textFill>
            <w14:solidFill>
              <w14:schemeClr w14:val="tx1"/>
            </w14:solidFill>
          </w14:textFill>
        </w:rPr>
        <w:t>24</w:t>
      </w:r>
      <w:r>
        <w:rPr>
          <w:rFonts w:hint="eastAsia" w:ascii="Times New Roman" w:hAnsi="Times New Roman" w:eastAsia="仿宋_GB2312" w:cs="Times New Roman"/>
          <w:color w:val="000000" w:themeColor="text1"/>
          <w:sz w:val="28"/>
          <w:szCs w:val="28"/>
          <w14:textFill>
            <w14:solidFill>
              <w14:schemeClr w14:val="tx1"/>
            </w14:solidFill>
          </w14:textFill>
        </w:rPr>
        <w:t>日起施行）</w:t>
      </w:r>
    </w:p>
    <w:p>
      <w:pPr>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 xml:space="preserve">    3</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《中共中央国务院关于进一步加强城市规划建设管理工作的若干意见》（中发</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2016</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6</w:t>
      </w:r>
      <w:r>
        <w:rPr>
          <w:rFonts w:hint="eastAsia" w:ascii="Times New Roman" w:hAnsi="Times New Roman" w:eastAsia="仿宋_GB2312" w:cs="Times New Roman"/>
          <w:color w:val="000000" w:themeColor="text1"/>
          <w:sz w:val="28"/>
          <w:szCs w:val="28"/>
          <w14:textFill>
            <w14:solidFill>
              <w14:schemeClr w14:val="tx1"/>
            </w14:solidFill>
          </w14:textFill>
        </w:rPr>
        <w:t>号）</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4</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《国务院关于深入推进新型城镇化建设的若干意见》（国发</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2016</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8</w:t>
      </w:r>
      <w:r>
        <w:rPr>
          <w:rFonts w:hint="eastAsia" w:ascii="Times New Roman" w:hAnsi="Times New Roman" w:eastAsia="仿宋_GB2312" w:cs="Times New Roman"/>
          <w:color w:val="000000" w:themeColor="text1"/>
          <w:sz w:val="28"/>
          <w:szCs w:val="28"/>
          <w14:textFill>
            <w14:solidFill>
              <w14:schemeClr w14:val="tx1"/>
            </w14:solidFill>
          </w14:textFill>
        </w:rPr>
        <w:t>号）</w:t>
      </w:r>
    </w:p>
    <w:p>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5</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《国务院办公厅关于大力发展装配式建筑的指导意见》（国办发</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2016</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71</w:t>
      </w:r>
      <w:r>
        <w:rPr>
          <w:rFonts w:hint="eastAsia" w:ascii="Times New Roman" w:hAnsi="Times New Roman" w:eastAsia="仿宋_GB2312" w:cs="Times New Roman"/>
          <w:color w:val="000000" w:themeColor="text1"/>
          <w:sz w:val="28"/>
          <w:szCs w:val="28"/>
          <w14:textFill>
            <w14:solidFill>
              <w14:schemeClr w14:val="tx1"/>
            </w14:solidFill>
          </w14:textFill>
        </w:rPr>
        <w:t>号）</w:t>
      </w:r>
    </w:p>
    <w:p>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6</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《中共中央</w:t>
      </w:r>
      <w:r>
        <w:rPr>
          <w:rFonts w:ascii="Times New Roman" w:hAnsi="Times New Roman" w:eastAsia="仿宋_GB2312" w:cs="Times New Roman"/>
          <w:color w:val="000000" w:themeColor="text1"/>
          <w:sz w:val="28"/>
          <w:szCs w:val="28"/>
          <w14:textFill>
            <w14:solidFill>
              <w14:schemeClr w14:val="tx1"/>
            </w14:solidFill>
          </w14:textFill>
        </w:rPr>
        <w:t xml:space="preserve"> </w:t>
      </w:r>
      <w:r>
        <w:rPr>
          <w:rFonts w:hint="eastAsia" w:ascii="Times New Roman" w:hAnsi="Times New Roman" w:eastAsia="仿宋_GB2312" w:cs="Times New Roman"/>
          <w:color w:val="000000" w:themeColor="text1"/>
          <w:sz w:val="28"/>
          <w:szCs w:val="28"/>
          <w14:textFill>
            <w14:solidFill>
              <w14:schemeClr w14:val="tx1"/>
            </w14:solidFill>
          </w14:textFill>
        </w:rPr>
        <w:t>国务院关于支持海南全面深化改革开放的指导意见》（</w:t>
      </w:r>
      <w:r>
        <w:rPr>
          <w:rFonts w:ascii="Times New Roman" w:hAnsi="Times New Roman" w:eastAsia="仿宋_GB2312" w:cs="Times New Roman"/>
          <w:color w:val="000000" w:themeColor="text1"/>
          <w:sz w:val="28"/>
          <w:szCs w:val="28"/>
          <w14:textFill>
            <w14:solidFill>
              <w14:schemeClr w14:val="tx1"/>
            </w14:solidFill>
          </w14:textFill>
        </w:rPr>
        <w:t>2018</w:t>
      </w:r>
      <w:r>
        <w:rPr>
          <w:rFonts w:hint="eastAsia" w:ascii="Times New Roman" w:hAnsi="Times New Roman" w:eastAsia="仿宋_GB2312" w:cs="Times New Roman"/>
          <w:color w:val="000000" w:themeColor="text1"/>
          <w:sz w:val="28"/>
          <w:szCs w:val="28"/>
          <w14:textFill>
            <w14:solidFill>
              <w14:schemeClr w14:val="tx1"/>
            </w14:solidFill>
          </w14:textFill>
        </w:rPr>
        <w:t>年</w:t>
      </w:r>
      <w:r>
        <w:rPr>
          <w:rFonts w:ascii="Times New Roman" w:hAnsi="Times New Roman" w:eastAsia="仿宋_GB2312" w:cs="Times New Roman"/>
          <w:color w:val="000000" w:themeColor="text1"/>
          <w:sz w:val="28"/>
          <w:szCs w:val="28"/>
          <w14:textFill>
            <w14:solidFill>
              <w14:schemeClr w14:val="tx1"/>
            </w14:solidFill>
          </w14:textFill>
        </w:rPr>
        <w:t>4</w:t>
      </w:r>
      <w:r>
        <w:rPr>
          <w:rFonts w:hint="eastAsia" w:ascii="Times New Roman" w:hAnsi="Times New Roman" w:eastAsia="仿宋_GB2312" w:cs="Times New Roman"/>
          <w:color w:val="000000" w:themeColor="text1"/>
          <w:sz w:val="28"/>
          <w:szCs w:val="28"/>
          <w14:textFill>
            <w14:solidFill>
              <w14:schemeClr w14:val="tx1"/>
            </w14:solidFill>
          </w14:textFill>
        </w:rPr>
        <w:t>月</w:t>
      </w:r>
      <w:r>
        <w:rPr>
          <w:rFonts w:ascii="Times New Roman" w:hAnsi="Times New Roman" w:eastAsia="仿宋_GB2312" w:cs="Times New Roman"/>
          <w:color w:val="000000" w:themeColor="text1"/>
          <w:sz w:val="28"/>
          <w:szCs w:val="28"/>
          <w14:textFill>
            <w14:solidFill>
              <w14:schemeClr w14:val="tx1"/>
            </w14:solidFill>
          </w14:textFill>
        </w:rPr>
        <w:t>11</w:t>
      </w:r>
      <w:r>
        <w:rPr>
          <w:rFonts w:hint="eastAsia" w:ascii="Times New Roman" w:hAnsi="Times New Roman" w:eastAsia="仿宋_GB2312" w:cs="Times New Roman"/>
          <w:color w:val="000000" w:themeColor="text1"/>
          <w:sz w:val="28"/>
          <w:szCs w:val="28"/>
          <w14:textFill>
            <w14:solidFill>
              <w14:schemeClr w14:val="tx1"/>
            </w14:solidFill>
          </w14:textFill>
        </w:rPr>
        <w:t>日）</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7</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《国务院办公厅关于促进建筑业持续健康发展的意见》（国办发</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w:t>
      </w:r>
      <w:r>
        <w:rPr>
          <w:rFonts w:hint="eastAsia" w:ascii="Times New Roman" w:hAnsi="Times New Roman" w:eastAsia="仿宋_GB2312" w:cs="Times New Roman"/>
          <w:color w:val="000000" w:themeColor="text1"/>
          <w:sz w:val="28"/>
          <w:szCs w:val="28"/>
          <w14:textFill>
            <w14:solidFill>
              <w14:schemeClr w14:val="tx1"/>
            </w14:solidFill>
          </w14:textFill>
        </w:rPr>
        <w:t>7</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19</w:t>
      </w:r>
      <w:r>
        <w:rPr>
          <w:rFonts w:hint="eastAsia" w:ascii="Times New Roman" w:hAnsi="Times New Roman" w:eastAsia="仿宋_GB2312" w:cs="Times New Roman"/>
          <w:color w:val="000000" w:themeColor="text1"/>
          <w:sz w:val="28"/>
          <w:szCs w:val="28"/>
          <w14:textFill>
            <w14:solidFill>
              <w14:schemeClr w14:val="tx1"/>
            </w14:solidFill>
          </w14:textFill>
        </w:rPr>
        <w:t>号）</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8</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住房和城乡建设部《</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十三五</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装配式建筑行动方案》（建科</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w:t>
      </w:r>
      <w:r>
        <w:rPr>
          <w:rFonts w:hint="eastAsia" w:ascii="Times New Roman" w:hAnsi="Times New Roman" w:eastAsia="仿宋_GB2312" w:cs="Times New Roman"/>
          <w:color w:val="000000" w:themeColor="text1"/>
          <w:sz w:val="28"/>
          <w:szCs w:val="28"/>
          <w14:textFill>
            <w14:solidFill>
              <w14:schemeClr w14:val="tx1"/>
            </w14:solidFill>
          </w14:textFill>
        </w:rPr>
        <w:t>7</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77</w:t>
      </w:r>
      <w:r>
        <w:rPr>
          <w:rFonts w:hint="eastAsia" w:ascii="Times New Roman" w:hAnsi="Times New Roman" w:eastAsia="仿宋_GB2312" w:cs="Times New Roman"/>
          <w:color w:val="000000" w:themeColor="text1"/>
          <w:sz w:val="28"/>
          <w:szCs w:val="28"/>
          <w14:textFill>
            <w14:solidFill>
              <w14:schemeClr w14:val="tx1"/>
            </w14:solidFill>
          </w14:textFill>
        </w:rPr>
        <w:t>号）</w:t>
      </w:r>
    </w:p>
    <w:p>
      <w:pPr>
        <w:spacing w:line="360" w:lineRule="auto"/>
        <w:outlineLvl w:val="2"/>
        <w:rPr>
          <w:rFonts w:hint="eastAsia" w:ascii="楷体_GB2312" w:hAnsi="楷体_GB2312" w:eastAsia="楷体_GB2312" w:cs="楷体_GB2312"/>
          <w:b w:val="0"/>
          <w:bCs w:val="0"/>
          <w:color w:val="000000" w:themeColor="text1"/>
          <w:sz w:val="28"/>
          <w:szCs w:val="28"/>
          <w14:textFill>
            <w14:solidFill>
              <w14:schemeClr w14:val="tx1"/>
            </w14:solidFill>
          </w14:textFill>
        </w:rPr>
      </w:pPr>
      <w:bookmarkStart w:id="22" w:name="_Toc509571550"/>
      <w:bookmarkStart w:id="23" w:name="_Toc1873"/>
      <w:r>
        <w:rPr>
          <w:rFonts w:hint="eastAsia" w:ascii="楷体_GB2312" w:hAnsi="楷体_GB2312" w:eastAsia="楷体_GB2312" w:cs="楷体_GB2312"/>
          <w:b w:val="0"/>
          <w:bCs w:val="0"/>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val="0"/>
          <w:color w:val="000000" w:themeColor="text1"/>
          <w:sz w:val="28"/>
          <w:szCs w:val="28"/>
          <w14:textFill>
            <w14:solidFill>
              <w14:schemeClr w14:val="tx1"/>
            </w14:solidFill>
          </w14:textFill>
        </w:rPr>
        <w:t>（二）省级层面</w:t>
      </w:r>
      <w:bookmarkEnd w:id="22"/>
      <w:bookmarkEnd w:id="23"/>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1</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海南省人民政府《海南省总体规划（</w:t>
      </w:r>
      <w:r>
        <w:rPr>
          <w:rFonts w:ascii="Times New Roman" w:hAnsi="Times New Roman" w:eastAsia="仿宋_GB2312" w:cs="Times New Roman"/>
          <w:color w:val="000000" w:themeColor="text1"/>
          <w:sz w:val="28"/>
          <w:szCs w:val="28"/>
          <w14:textFill>
            <w14:solidFill>
              <w14:schemeClr w14:val="tx1"/>
            </w14:solidFill>
          </w14:textFill>
        </w:rPr>
        <w:t>2015-2030</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2015</w:t>
      </w:r>
      <w:r>
        <w:rPr>
          <w:rFonts w:hint="eastAsia" w:ascii="Times New Roman" w:hAnsi="Times New Roman" w:eastAsia="仿宋_GB2312" w:cs="Times New Roman"/>
          <w:color w:val="000000" w:themeColor="text1"/>
          <w:sz w:val="28"/>
          <w:szCs w:val="28"/>
          <w14:textFill>
            <w14:solidFill>
              <w14:schemeClr w14:val="tx1"/>
            </w14:solidFill>
          </w14:textFill>
        </w:rPr>
        <w:t>年</w:t>
      </w:r>
      <w:r>
        <w:rPr>
          <w:rFonts w:ascii="Times New Roman" w:hAnsi="Times New Roman" w:eastAsia="仿宋_GB2312" w:cs="Times New Roman"/>
          <w:color w:val="000000" w:themeColor="text1"/>
          <w:sz w:val="28"/>
          <w:szCs w:val="28"/>
          <w14:textFill>
            <w14:solidFill>
              <w14:schemeClr w14:val="tx1"/>
            </w14:solidFill>
          </w14:textFill>
        </w:rPr>
        <w:t>9</w:t>
      </w:r>
      <w:r>
        <w:rPr>
          <w:rFonts w:hint="eastAsia" w:ascii="Times New Roman" w:hAnsi="Times New Roman" w:eastAsia="仿宋_GB2312" w:cs="Times New Roman"/>
          <w:color w:val="000000" w:themeColor="text1"/>
          <w:sz w:val="28"/>
          <w:szCs w:val="28"/>
          <w14:textFill>
            <w14:solidFill>
              <w14:schemeClr w14:val="tx1"/>
            </w14:solidFill>
          </w14:textFill>
        </w:rPr>
        <w:t>月</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2</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《中共海南省委海南省人民政府关于加强城镇规划建设管理工作的实施意见》（琼发</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2016</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23</w:t>
      </w:r>
      <w:r>
        <w:rPr>
          <w:rFonts w:hint="eastAsia" w:ascii="Times New Roman" w:hAnsi="Times New Roman" w:eastAsia="仿宋_GB2312" w:cs="Times New Roman"/>
          <w:color w:val="000000" w:themeColor="text1"/>
          <w:sz w:val="28"/>
          <w:szCs w:val="28"/>
          <w14:textFill>
            <w14:solidFill>
              <w14:schemeClr w14:val="tx1"/>
            </w14:solidFill>
          </w14:textFill>
        </w:rPr>
        <w:t>号）</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3</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《海南省人民政府办公厅关于印发&lt;海南省促进建筑产业现代化发展指导意见&gt;的通知》（琼府办</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2016</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48</w:t>
      </w:r>
      <w:r>
        <w:rPr>
          <w:rFonts w:hint="eastAsia" w:ascii="Times New Roman" w:hAnsi="Times New Roman" w:eastAsia="仿宋_GB2312" w:cs="Times New Roman"/>
          <w:color w:val="000000" w:themeColor="text1"/>
          <w:sz w:val="28"/>
          <w:szCs w:val="28"/>
          <w14:textFill>
            <w14:solidFill>
              <w14:schemeClr w14:val="tx1"/>
            </w14:solidFill>
          </w14:textFill>
        </w:rPr>
        <w:t>号）</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4</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《海南省人民政府关于进一步深化</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两个暂停</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政策促进房地产业平稳健康发展的意见》（琼府</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w:t>
      </w:r>
      <w:r>
        <w:rPr>
          <w:rFonts w:hint="eastAsia" w:ascii="Times New Roman" w:hAnsi="Times New Roman" w:eastAsia="仿宋_GB2312" w:cs="Times New Roman"/>
          <w:color w:val="000000" w:themeColor="text1"/>
          <w:sz w:val="28"/>
          <w:szCs w:val="28"/>
          <w14:textFill>
            <w14:solidFill>
              <w14:schemeClr w14:val="tx1"/>
            </w14:solidFill>
          </w14:textFill>
        </w:rPr>
        <w:t>7</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76</w:t>
      </w:r>
      <w:r>
        <w:rPr>
          <w:rFonts w:hint="eastAsia" w:ascii="Times New Roman" w:hAnsi="Times New Roman" w:eastAsia="仿宋_GB2312" w:cs="Times New Roman"/>
          <w:color w:val="000000" w:themeColor="text1"/>
          <w:sz w:val="28"/>
          <w:szCs w:val="28"/>
          <w14:textFill>
            <w14:solidFill>
              <w14:schemeClr w14:val="tx1"/>
            </w14:solidFill>
          </w14:textFill>
        </w:rPr>
        <w:t>号）</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5</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《海南省人民政府关于大力发展装配式建筑的实施意见》（琼府</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w:t>
      </w:r>
      <w:r>
        <w:rPr>
          <w:rFonts w:hint="eastAsia" w:ascii="Times New Roman" w:hAnsi="Times New Roman" w:eastAsia="仿宋_GB2312" w:cs="Times New Roman"/>
          <w:color w:val="000000" w:themeColor="text1"/>
          <w:sz w:val="28"/>
          <w:szCs w:val="28"/>
          <w14:textFill>
            <w14:solidFill>
              <w14:schemeClr w14:val="tx1"/>
            </w14:solidFill>
          </w14:textFill>
        </w:rPr>
        <w:t>7</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100</w:t>
      </w:r>
      <w:r>
        <w:rPr>
          <w:rFonts w:hint="eastAsia" w:ascii="Times New Roman" w:hAnsi="Times New Roman" w:eastAsia="仿宋_GB2312" w:cs="Times New Roman"/>
          <w:color w:val="000000" w:themeColor="text1"/>
          <w:sz w:val="28"/>
          <w:szCs w:val="28"/>
          <w14:textFill>
            <w14:solidFill>
              <w14:schemeClr w14:val="tx1"/>
            </w14:solidFill>
          </w14:textFill>
        </w:rPr>
        <w:t>号）</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6</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《中共海南省委办公厅 海南省人民政府办公厅关于进一步稳定房地产市场的通知》（琼办发</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w:t>
      </w:r>
      <w:r>
        <w:rPr>
          <w:rFonts w:hint="eastAsia" w:ascii="Times New Roman" w:hAnsi="Times New Roman" w:eastAsia="仿宋_GB2312" w:cs="Times New Roman"/>
          <w:color w:val="000000" w:themeColor="text1"/>
          <w:sz w:val="28"/>
          <w:szCs w:val="28"/>
          <w14:textFill>
            <w14:solidFill>
              <w14:schemeClr w14:val="tx1"/>
            </w14:solidFill>
          </w14:textFill>
        </w:rPr>
        <w:t>8</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 xml:space="preserve">29 </w:t>
      </w:r>
      <w:r>
        <w:rPr>
          <w:rFonts w:hint="eastAsia" w:ascii="Times New Roman" w:hAnsi="Times New Roman" w:eastAsia="仿宋_GB2312" w:cs="Times New Roman"/>
          <w:color w:val="000000" w:themeColor="text1"/>
          <w:sz w:val="28"/>
          <w:szCs w:val="28"/>
          <w14:textFill>
            <w14:solidFill>
              <w14:schemeClr w14:val="tx1"/>
            </w14:solidFill>
          </w14:textFill>
        </w:rPr>
        <w:t>号）</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7</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《海南省住房和城乡建设厅 海南省发展和改革委员会关于印发&lt;海南省住房和城乡建设事业</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十三五</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规划&gt;的通知》（琼建发</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2016</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198</w:t>
      </w:r>
      <w:r>
        <w:rPr>
          <w:rFonts w:hint="eastAsia" w:ascii="Times New Roman" w:hAnsi="Times New Roman" w:eastAsia="仿宋_GB2312" w:cs="Times New Roman"/>
          <w:color w:val="000000" w:themeColor="text1"/>
          <w:sz w:val="28"/>
          <w:szCs w:val="28"/>
          <w14:textFill>
            <w14:solidFill>
              <w14:schemeClr w14:val="tx1"/>
            </w14:solidFill>
          </w14:textFill>
        </w:rPr>
        <w:t>号）</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8</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《海南省住房和城乡建设厅关于印发&lt;海南省建筑节能与建设科技</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十三五</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发展规划&gt;的通知》（琼建科</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w:t>
      </w:r>
      <w:r>
        <w:rPr>
          <w:rFonts w:hint="eastAsia" w:ascii="Times New Roman" w:hAnsi="Times New Roman" w:eastAsia="仿宋_GB2312" w:cs="Times New Roman"/>
          <w:color w:val="000000" w:themeColor="text1"/>
          <w:sz w:val="28"/>
          <w:szCs w:val="28"/>
          <w14:textFill>
            <w14:solidFill>
              <w14:schemeClr w14:val="tx1"/>
            </w14:solidFill>
          </w14:textFill>
        </w:rPr>
        <w:t>7</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230</w:t>
      </w:r>
      <w:r>
        <w:rPr>
          <w:rFonts w:hint="eastAsia" w:ascii="Times New Roman" w:hAnsi="Times New Roman" w:eastAsia="仿宋_GB2312" w:cs="Times New Roman"/>
          <w:color w:val="000000" w:themeColor="text1"/>
          <w:sz w:val="28"/>
          <w:szCs w:val="28"/>
          <w14:textFill>
            <w14:solidFill>
              <w14:schemeClr w14:val="tx1"/>
            </w14:solidFill>
          </w14:textFill>
        </w:rPr>
        <w:t>号）</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9</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《海南省住房和城乡建设厅关于印发&lt;海南省建筑产业现代化（装配式建筑）发展规划（</w:t>
      </w:r>
      <w:r>
        <w:rPr>
          <w:rFonts w:ascii="Times New Roman" w:hAnsi="Times New Roman" w:eastAsia="仿宋_GB2312" w:cs="Times New Roman"/>
          <w:color w:val="000000" w:themeColor="text1"/>
          <w:sz w:val="28"/>
          <w:szCs w:val="28"/>
          <w14:textFill>
            <w14:solidFill>
              <w14:schemeClr w14:val="tx1"/>
            </w14:solidFill>
          </w14:textFill>
        </w:rPr>
        <w:t>2018-2022</w:t>
      </w:r>
      <w:r>
        <w:rPr>
          <w:rFonts w:hint="eastAsia" w:ascii="Times New Roman" w:hAnsi="Times New Roman" w:eastAsia="仿宋_GB2312" w:cs="Times New Roman"/>
          <w:color w:val="000000" w:themeColor="text1"/>
          <w:sz w:val="28"/>
          <w:szCs w:val="28"/>
          <w14:textFill>
            <w14:solidFill>
              <w14:schemeClr w14:val="tx1"/>
            </w14:solidFill>
          </w14:textFill>
        </w:rPr>
        <w:t>）&gt;的通知》（琼建科</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w:t>
      </w:r>
      <w:r>
        <w:rPr>
          <w:rFonts w:hint="eastAsia" w:ascii="Times New Roman" w:hAnsi="Times New Roman" w:eastAsia="仿宋_GB2312" w:cs="Times New Roman"/>
          <w:color w:val="000000" w:themeColor="text1"/>
          <w:sz w:val="28"/>
          <w:szCs w:val="28"/>
          <w14:textFill>
            <w14:solidFill>
              <w14:schemeClr w14:val="tx1"/>
            </w14:solidFill>
          </w14:textFill>
        </w:rPr>
        <w:t>8</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127</w:t>
      </w:r>
      <w:r>
        <w:rPr>
          <w:rFonts w:hint="eastAsia" w:ascii="Times New Roman" w:hAnsi="Times New Roman" w:eastAsia="仿宋_GB2312" w:cs="Times New Roman"/>
          <w:color w:val="000000" w:themeColor="text1"/>
          <w:sz w:val="28"/>
          <w:szCs w:val="28"/>
          <w14:textFill>
            <w14:solidFill>
              <w14:schemeClr w14:val="tx1"/>
            </w14:solidFill>
          </w14:textFill>
        </w:rPr>
        <w:t>号）</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1</w:t>
      </w:r>
      <w:r>
        <w:rPr>
          <w:rFonts w:ascii="Times New Roman" w:hAnsi="Times New Roman" w:eastAsia="仿宋_GB2312" w:cs="Times New Roman"/>
          <w:color w:val="000000" w:themeColor="text1"/>
          <w:sz w:val="28"/>
          <w:szCs w:val="28"/>
          <w14:textFill>
            <w14:solidFill>
              <w14:schemeClr w14:val="tx1"/>
            </w14:solidFill>
          </w14:textFill>
        </w:rPr>
        <w:t>0.</w:t>
      </w:r>
      <w:r>
        <w:rPr>
          <w:rFonts w:hint="eastAsia" w:ascii="Times New Roman" w:hAnsi="Times New Roman" w:eastAsia="仿宋_GB2312" w:cs="Times New Roman"/>
          <w:color w:val="000000" w:themeColor="text1"/>
          <w:sz w:val="28"/>
          <w:szCs w:val="28"/>
          <w14:textFill>
            <w14:solidFill>
              <w14:schemeClr w14:val="tx1"/>
            </w14:solidFill>
          </w14:textFill>
        </w:rPr>
        <w:t>《海南省住房和城乡建设厅关于印发&lt;海南省装配式建筑示范管理办法&gt;的通知》（琼建科</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w:t>
      </w:r>
      <w:r>
        <w:rPr>
          <w:rFonts w:hint="eastAsia" w:ascii="Times New Roman" w:hAnsi="Times New Roman" w:eastAsia="仿宋_GB2312" w:cs="Times New Roman"/>
          <w:color w:val="000000" w:themeColor="text1"/>
          <w:sz w:val="28"/>
          <w:szCs w:val="28"/>
          <w14:textFill>
            <w14:solidFill>
              <w14:schemeClr w14:val="tx1"/>
            </w14:solidFill>
          </w14:textFill>
        </w:rPr>
        <w:t>8</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30</w:t>
      </w:r>
      <w:r>
        <w:rPr>
          <w:rFonts w:hint="eastAsia" w:ascii="Times New Roman" w:hAnsi="Times New Roman" w:eastAsia="仿宋_GB2312" w:cs="Times New Roman"/>
          <w:color w:val="000000" w:themeColor="text1"/>
          <w:sz w:val="28"/>
          <w:szCs w:val="28"/>
          <w14:textFill>
            <w14:solidFill>
              <w14:schemeClr w14:val="tx1"/>
            </w14:solidFill>
          </w14:textFill>
        </w:rPr>
        <w:t>号）</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1</w:t>
      </w:r>
      <w:r>
        <w:rPr>
          <w:rFonts w:ascii="Times New Roman" w:hAnsi="Times New Roman" w:eastAsia="仿宋_GB2312" w:cs="Times New Roman"/>
          <w:color w:val="000000" w:themeColor="text1"/>
          <w:sz w:val="28"/>
          <w:szCs w:val="28"/>
          <w14:textFill>
            <w14:solidFill>
              <w14:schemeClr w14:val="tx1"/>
            </w14:solidFill>
          </w14:textFill>
        </w:rPr>
        <w:t>1.</w:t>
      </w:r>
      <w:r>
        <w:rPr>
          <w:rFonts w:hint="eastAsia" w:ascii="Times New Roman" w:hAnsi="Times New Roman" w:eastAsia="仿宋_GB2312" w:cs="Times New Roman"/>
          <w:color w:val="000000" w:themeColor="text1"/>
          <w:sz w:val="28"/>
          <w:szCs w:val="28"/>
          <w14:textFill>
            <w14:solidFill>
              <w14:schemeClr w14:val="tx1"/>
            </w14:solidFill>
          </w14:textFill>
        </w:rPr>
        <w:t>《海南省住房和城乡建设厅关于印发&lt;海南省装配式建筑专项规划导则&gt;的通知》（琼建科</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w:t>
      </w:r>
      <w:r>
        <w:rPr>
          <w:rFonts w:hint="eastAsia" w:ascii="Times New Roman" w:hAnsi="Times New Roman" w:eastAsia="仿宋_GB2312" w:cs="Times New Roman"/>
          <w:color w:val="000000" w:themeColor="text1"/>
          <w:sz w:val="28"/>
          <w:szCs w:val="28"/>
          <w14:textFill>
            <w14:solidFill>
              <w14:schemeClr w14:val="tx1"/>
            </w14:solidFill>
          </w14:textFill>
        </w:rPr>
        <w:t>8</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65</w:t>
      </w:r>
      <w:r>
        <w:rPr>
          <w:rFonts w:hint="eastAsia" w:ascii="Times New Roman" w:hAnsi="Times New Roman" w:eastAsia="仿宋_GB2312" w:cs="Times New Roman"/>
          <w:color w:val="000000" w:themeColor="text1"/>
          <w:sz w:val="28"/>
          <w:szCs w:val="28"/>
          <w14:textFill>
            <w14:solidFill>
              <w14:schemeClr w14:val="tx1"/>
            </w14:solidFill>
          </w14:textFill>
        </w:rPr>
        <w:t>号）</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1</w:t>
      </w:r>
      <w:r>
        <w:rPr>
          <w:rFonts w:ascii="Times New Roman" w:hAnsi="Times New Roman" w:eastAsia="仿宋_GB2312" w:cs="Times New Roman"/>
          <w:color w:val="000000" w:themeColor="text1"/>
          <w:sz w:val="28"/>
          <w:szCs w:val="28"/>
          <w14:textFill>
            <w14:solidFill>
              <w14:schemeClr w14:val="tx1"/>
            </w14:solidFill>
          </w14:textFill>
        </w:rPr>
        <w:t>2.</w:t>
      </w:r>
      <w:r>
        <w:rPr>
          <w:rFonts w:hint="eastAsia" w:ascii="Times New Roman" w:hAnsi="Times New Roman" w:eastAsia="仿宋_GB2312" w:cs="Times New Roman"/>
          <w:color w:val="000000" w:themeColor="text1"/>
          <w:sz w:val="28"/>
          <w:szCs w:val="28"/>
          <w14:textFill>
            <w14:solidFill>
              <w14:schemeClr w14:val="tx1"/>
            </w14:solidFill>
          </w14:textFill>
        </w:rPr>
        <w:t>《海南省住房和城乡建设厅关于印发&lt;海南省装配式建筑装配率计算规则&gt;的通知》（琼建科</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w:t>
      </w:r>
      <w:r>
        <w:rPr>
          <w:rFonts w:hint="eastAsia" w:ascii="Times New Roman" w:hAnsi="Times New Roman" w:eastAsia="仿宋_GB2312" w:cs="Times New Roman"/>
          <w:color w:val="000000" w:themeColor="text1"/>
          <w:sz w:val="28"/>
          <w:szCs w:val="28"/>
          <w14:textFill>
            <w14:solidFill>
              <w14:schemeClr w14:val="tx1"/>
            </w14:solidFill>
          </w14:textFill>
        </w:rPr>
        <w:t>8</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70</w:t>
      </w:r>
      <w:r>
        <w:rPr>
          <w:rFonts w:hint="eastAsia" w:ascii="Times New Roman" w:hAnsi="Times New Roman" w:eastAsia="仿宋_GB2312" w:cs="Times New Roman"/>
          <w:color w:val="000000" w:themeColor="text1"/>
          <w:sz w:val="28"/>
          <w:szCs w:val="28"/>
          <w14:textFill>
            <w14:solidFill>
              <w14:schemeClr w14:val="tx1"/>
            </w14:solidFill>
          </w14:textFill>
        </w:rPr>
        <w:t>号）</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1</w:t>
      </w:r>
      <w:r>
        <w:rPr>
          <w:rFonts w:ascii="Times New Roman" w:hAnsi="Times New Roman" w:eastAsia="仿宋_GB2312" w:cs="Times New Roman"/>
          <w:color w:val="000000" w:themeColor="text1"/>
          <w:sz w:val="28"/>
          <w:szCs w:val="28"/>
          <w14:textFill>
            <w14:solidFill>
              <w14:schemeClr w14:val="tx1"/>
            </w14:solidFill>
          </w14:textFill>
        </w:rPr>
        <w:t>3.</w:t>
      </w:r>
      <w:r>
        <w:rPr>
          <w:rFonts w:hint="eastAsia" w:ascii="Times New Roman" w:hAnsi="Times New Roman" w:eastAsia="仿宋_GB2312" w:cs="Times New Roman"/>
          <w:color w:val="000000" w:themeColor="text1"/>
          <w:sz w:val="28"/>
          <w:szCs w:val="28"/>
          <w14:textFill>
            <w14:solidFill>
              <w14:schemeClr w14:val="tx1"/>
            </w14:solidFill>
          </w14:textFill>
        </w:rPr>
        <w:t>《海南省住房和城乡建设厅</w:t>
      </w:r>
      <w:r>
        <w:rPr>
          <w:rFonts w:ascii="Times New Roman" w:hAnsi="Times New Roman" w:eastAsia="仿宋_GB2312" w:cs="Times New Roman"/>
          <w:color w:val="000000" w:themeColor="text1"/>
          <w:sz w:val="28"/>
          <w:szCs w:val="28"/>
          <w14:textFill>
            <w14:solidFill>
              <w14:schemeClr w14:val="tx1"/>
            </w14:solidFill>
          </w14:textFill>
        </w:rPr>
        <w:t xml:space="preserve"> </w:t>
      </w:r>
      <w:r>
        <w:rPr>
          <w:rFonts w:hint="eastAsia" w:ascii="Times New Roman" w:hAnsi="Times New Roman" w:eastAsia="仿宋_GB2312" w:cs="Times New Roman"/>
          <w:color w:val="000000" w:themeColor="text1"/>
          <w:sz w:val="28"/>
          <w:szCs w:val="28"/>
          <w14:textFill>
            <w14:solidFill>
              <w14:schemeClr w14:val="tx1"/>
            </w14:solidFill>
          </w14:textFill>
        </w:rPr>
        <w:t>海南省发展和改革委员会</w:t>
      </w:r>
      <w:r>
        <w:rPr>
          <w:rFonts w:ascii="Times New Roman" w:hAnsi="Times New Roman" w:eastAsia="仿宋_GB2312" w:cs="Times New Roman"/>
          <w:color w:val="000000" w:themeColor="text1"/>
          <w:sz w:val="28"/>
          <w:szCs w:val="28"/>
          <w14:textFill>
            <w14:solidFill>
              <w14:schemeClr w14:val="tx1"/>
            </w14:solidFill>
          </w14:textFill>
        </w:rPr>
        <w:t xml:space="preserve"> </w:t>
      </w:r>
      <w:r>
        <w:rPr>
          <w:rFonts w:hint="eastAsia" w:ascii="Times New Roman" w:hAnsi="Times New Roman" w:eastAsia="仿宋_GB2312" w:cs="Times New Roman"/>
          <w:color w:val="000000" w:themeColor="text1"/>
          <w:sz w:val="28"/>
          <w:szCs w:val="28"/>
          <w14:textFill>
            <w14:solidFill>
              <w14:schemeClr w14:val="tx1"/>
            </w14:solidFill>
          </w14:textFill>
        </w:rPr>
        <w:t>海南省规划委员会</w:t>
      </w:r>
      <w:r>
        <w:rPr>
          <w:rFonts w:ascii="Times New Roman" w:hAnsi="Times New Roman" w:eastAsia="仿宋_GB2312" w:cs="Times New Roman"/>
          <w:color w:val="000000" w:themeColor="text1"/>
          <w:sz w:val="28"/>
          <w:szCs w:val="28"/>
          <w14:textFill>
            <w14:solidFill>
              <w14:schemeClr w14:val="tx1"/>
            </w14:solidFill>
          </w14:textFill>
        </w:rPr>
        <w:t xml:space="preserve"> </w:t>
      </w:r>
      <w:r>
        <w:rPr>
          <w:rFonts w:hint="eastAsia" w:ascii="Times New Roman" w:hAnsi="Times New Roman" w:eastAsia="仿宋_GB2312" w:cs="Times New Roman"/>
          <w:color w:val="000000" w:themeColor="text1"/>
          <w:sz w:val="28"/>
          <w:szCs w:val="28"/>
          <w14:textFill>
            <w14:solidFill>
              <w14:schemeClr w14:val="tx1"/>
            </w14:solidFill>
          </w14:textFill>
        </w:rPr>
        <w:t>海南省国土资源厅</w:t>
      </w:r>
      <w:r>
        <w:rPr>
          <w:rFonts w:ascii="Times New Roman" w:hAnsi="Times New Roman" w:eastAsia="仿宋_GB2312" w:cs="Times New Roman"/>
          <w:color w:val="000000" w:themeColor="text1"/>
          <w:sz w:val="28"/>
          <w:szCs w:val="28"/>
          <w14:textFill>
            <w14:solidFill>
              <w14:schemeClr w14:val="tx1"/>
            </w14:solidFill>
          </w14:textFill>
        </w:rPr>
        <w:t xml:space="preserve"> </w:t>
      </w:r>
      <w:r>
        <w:rPr>
          <w:rFonts w:hint="eastAsia" w:ascii="Times New Roman" w:hAnsi="Times New Roman" w:eastAsia="仿宋_GB2312" w:cs="Times New Roman"/>
          <w:color w:val="000000" w:themeColor="text1"/>
          <w:sz w:val="28"/>
          <w:szCs w:val="28"/>
          <w14:textFill>
            <w14:solidFill>
              <w14:schemeClr w14:val="tx1"/>
            </w14:solidFill>
          </w14:textFill>
        </w:rPr>
        <w:t>关于印发&lt;</w:t>
      </w:r>
      <w:r>
        <w:rPr>
          <w:rFonts w:ascii="Times New Roman" w:hAnsi="Times New Roman" w:eastAsia="仿宋_GB2312" w:cs="Times New Roman"/>
          <w:color w:val="000000" w:themeColor="text1"/>
          <w:sz w:val="28"/>
          <w:szCs w:val="28"/>
          <w14:textFill>
            <w14:solidFill>
              <w14:schemeClr w14:val="tx1"/>
            </w14:solidFill>
          </w14:textFill>
        </w:rPr>
        <w:t>2018</w:t>
      </w:r>
      <w:r>
        <w:rPr>
          <w:rFonts w:hint="eastAsia" w:ascii="Times New Roman" w:hAnsi="Times New Roman" w:eastAsia="仿宋_GB2312" w:cs="Times New Roman"/>
          <w:color w:val="000000" w:themeColor="text1"/>
          <w:sz w:val="28"/>
          <w:szCs w:val="28"/>
          <w14:textFill>
            <w14:solidFill>
              <w14:schemeClr w14:val="tx1"/>
            </w14:solidFill>
          </w14:textFill>
        </w:rPr>
        <w:t>年推进装配式建筑有关事项&gt;的通知》（琼建科</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w:t>
      </w:r>
      <w:r>
        <w:rPr>
          <w:rFonts w:hint="eastAsia" w:ascii="Times New Roman" w:hAnsi="Times New Roman" w:eastAsia="仿宋_GB2312" w:cs="Times New Roman"/>
          <w:color w:val="000000" w:themeColor="text1"/>
          <w:sz w:val="28"/>
          <w:szCs w:val="28"/>
          <w14:textFill>
            <w14:solidFill>
              <w14:schemeClr w14:val="tx1"/>
            </w14:solidFill>
          </w14:textFill>
        </w:rPr>
        <w:t>8</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91</w:t>
      </w:r>
      <w:r>
        <w:rPr>
          <w:rFonts w:hint="eastAsia" w:ascii="Times New Roman" w:hAnsi="Times New Roman" w:eastAsia="仿宋_GB2312" w:cs="Times New Roman"/>
          <w:color w:val="000000" w:themeColor="text1"/>
          <w:sz w:val="28"/>
          <w:szCs w:val="28"/>
          <w14:textFill>
            <w14:solidFill>
              <w14:schemeClr w14:val="tx1"/>
            </w14:solidFill>
          </w14:textFill>
        </w:rPr>
        <w:t>号）</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1</w:t>
      </w:r>
      <w:r>
        <w:rPr>
          <w:rFonts w:ascii="Times New Roman" w:hAnsi="Times New Roman" w:eastAsia="仿宋_GB2312" w:cs="Times New Roman"/>
          <w:color w:val="000000" w:themeColor="text1"/>
          <w:sz w:val="28"/>
          <w:szCs w:val="28"/>
          <w14:textFill>
            <w14:solidFill>
              <w14:schemeClr w14:val="tx1"/>
            </w14:solidFill>
          </w14:textFill>
        </w:rPr>
        <w:t>4.</w:t>
      </w:r>
      <w:r>
        <w:rPr>
          <w:rFonts w:hint="eastAsia" w:ascii="Times New Roman" w:hAnsi="Times New Roman" w:eastAsia="仿宋_GB2312" w:cs="Times New Roman"/>
          <w:color w:val="000000" w:themeColor="text1"/>
          <w:sz w:val="28"/>
          <w:szCs w:val="28"/>
          <w14:textFill>
            <w14:solidFill>
              <w14:schemeClr w14:val="tx1"/>
            </w14:solidFill>
          </w14:textFill>
        </w:rPr>
        <w:t>《海南省住房和城乡建设厅关于印发&lt;海南省住房和城乡建设厅关于推进装配式建筑发展内部责任分工方案&gt;的通知》（琼建科函</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w:t>
      </w:r>
      <w:r>
        <w:rPr>
          <w:rFonts w:hint="eastAsia" w:ascii="Times New Roman" w:hAnsi="Times New Roman" w:eastAsia="仿宋_GB2312" w:cs="Times New Roman"/>
          <w:color w:val="000000" w:themeColor="text1"/>
          <w:sz w:val="28"/>
          <w:szCs w:val="28"/>
          <w14:textFill>
            <w14:solidFill>
              <w14:schemeClr w14:val="tx1"/>
            </w14:solidFill>
          </w14:textFill>
        </w:rPr>
        <w:t>8</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13</w:t>
      </w:r>
      <w:r>
        <w:rPr>
          <w:rFonts w:hint="eastAsia" w:ascii="Times New Roman" w:hAnsi="Times New Roman" w:eastAsia="仿宋_GB2312" w:cs="Times New Roman"/>
          <w:color w:val="000000" w:themeColor="text1"/>
          <w:sz w:val="28"/>
          <w:szCs w:val="28"/>
          <w14:textFill>
            <w14:solidFill>
              <w14:schemeClr w14:val="tx1"/>
            </w14:solidFill>
          </w14:textFill>
        </w:rPr>
        <w:t>号）</w:t>
      </w:r>
    </w:p>
    <w:bookmarkEnd w:id="14"/>
    <w:bookmarkEnd w:id="15"/>
    <w:bookmarkEnd w:id="16"/>
    <w:bookmarkEnd w:id="17"/>
    <w:bookmarkEnd w:id="18"/>
    <w:bookmarkEnd w:id="19"/>
    <w:bookmarkEnd w:id="20"/>
    <w:bookmarkEnd w:id="21"/>
    <w:p>
      <w:pPr>
        <w:numPr>
          <w:ilvl w:val="255"/>
          <w:numId w:val="0"/>
        </w:num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1</w:t>
      </w:r>
      <w:r>
        <w:rPr>
          <w:rFonts w:ascii="Times New Roman" w:hAnsi="Times New Roman" w:eastAsia="仿宋_GB2312" w:cs="Times New Roman"/>
          <w:color w:val="000000" w:themeColor="text1"/>
          <w:sz w:val="28"/>
          <w:szCs w:val="28"/>
          <w14:textFill>
            <w14:solidFill>
              <w14:schemeClr w14:val="tx1"/>
            </w14:solidFill>
          </w14:textFill>
        </w:rPr>
        <w:t>5.</w:t>
      </w:r>
      <w:r>
        <w:rPr>
          <w:rFonts w:hint="eastAsia" w:ascii="Times New Roman" w:hAnsi="Times New Roman" w:eastAsia="仿宋_GB2312" w:cs="Times New Roman"/>
          <w:color w:val="000000" w:themeColor="text1"/>
          <w:sz w:val="28"/>
          <w:szCs w:val="28"/>
          <w14:textFill>
            <w14:solidFill>
              <w14:schemeClr w14:val="tx1"/>
            </w14:solidFill>
          </w14:textFill>
        </w:rPr>
        <w:t>《海南统计年鉴-2010》、《海南统计年鉴-201</w:t>
      </w:r>
      <w:r>
        <w:rPr>
          <w:rFonts w:ascii="Times New Roman" w:hAnsi="Times New Roman" w:eastAsia="仿宋_GB2312" w:cs="Times New Roman"/>
          <w:color w:val="000000" w:themeColor="text1"/>
          <w:sz w:val="28"/>
          <w:szCs w:val="28"/>
          <w14:textFill>
            <w14:solidFill>
              <w14:schemeClr w14:val="tx1"/>
            </w14:solidFill>
          </w14:textFill>
        </w:rPr>
        <w:t>1</w:t>
      </w:r>
      <w:r>
        <w:rPr>
          <w:rFonts w:hint="eastAsia" w:ascii="Times New Roman" w:hAnsi="Times New Roman" w:eastAsia="仿宋_GB2312" w:cs="Times New Roman"/>
          <w:color w:val="000000" w:themeColor="text1"/>
          <w:sz w:val="28"/>
          <w:szCs w:val="28"/>
          <w14:textFill>
            <w14:solidFill>
              <w14:schemeClr w14:val="tx1"/>
            </w14:solidFill>
          </w14:textFill>
        </w:rPr>
        <w:t>》、《海南统计年鉴-201</w:t>
      </w:r>
      <w:r>
        <w:rPr>
          <w:rFonts w:ascii="Times New Roman" w:hAnsi="Times New Roman" w:eastAsia="仿宋_GB2312" w:cs="Times New Roman"/>
          <w:color w:val="000000" w:themeColor="text1"/>
          <w:sz w:val="28"/>
          <w:szCs w:val="28"/>
          <w14:textFill>
            <w14:solidFill>
              <w14:schemeClr w14:val="tx1"/>
            </w14:solidFill>
          </w14:textFill>
        </w:rPr>
        <w:t>2</w:t>
      </w:r>
      <w:r>
        <w:rPr>
          <w:rFonts w:hint="eastAsia" w:ascii="Times New Roman" w:hAnsi="Times New Roman" w:eastAsia="仿宋_GB2312" w:cs="Times New Roman"/>
          <w:color w:val="000000" w:themeColor="text1"/>
          <w:sz w:val="28"/>
          <w:szCs w:val="28"/>
          <w14:textFill>
            <w14:solidFill>
              <w14:schemeClr w14:val="tx1"/>
            </w14:solidFill>
          </w14:textFill>
        </w:rPr>
        <w:t>》、《海南统计年鉴-201</w:t>
      </w:r>
      <w:r>
        <w:rPr>
          <w:rFonts w:ascii="Times New Roman" w:hAnsi="Times New Roman" w:eastAsia="仿宋_GB2312" w:cs="Times New Roman"/>
          <w:color w:val="000000" w:themeColor="text1"/>
          <w:sz w:val="28"/>
          <w:szCs w:val="28"/>
          <w14:textFill>
            <w14:solidFill>
              <w14:schemeClr w14:val="tx1"/>
            </w14:solidFill>
          </w14:textFill>
        </w:rPr>
        <w:t>3</w:t>
      </w:r>
      <w:r>
        <w:rPr>
          <w:rFonts w:hint="eastAsia" w:ascii="Times New Roman" w:hAnsi="Times New Roman" w:eastAsia="仿宋_GB2312" w:cs="Times New Roman"/>
          <w:color w:val="000000" w:themeColor="text1"/>
          <w:sz w:val="28"/>
          <w:szCs w:val="28"/>
          <w14:textFill>
            <w14:solidFill>
              <w14:schemeClr w14:val="tx1"/>
            </w14:solidFill>
          </w14:textFill>
        </w:rPr>
        <w:t>》、《海南统计年鉴-201</w:t>
      </w:r>
      <w:r>
        <w:rPr>
          <w:rFonts w:ascii="Times New Roman" w:hAnsi="Times New Roman" w:eastAsia="仿宋_GB2312" w:cs="Times New Roman"/>
          <w:color w:val="000000" w:themeColor="text1"/>
          <w:sz w:val="28"/>
          <w:szCs w:val="28"/>
          <w14:textFill>
            <w14:solidFill>
              <w14:schemeClr w14:val="tx1"/>
            </w14:solidFill>
          </w14:textFill>
        </w:rPr>
        <w:t>4</w:t>
      </w:r>
      <w:r>
        <w:rPr>
          <w:rFonts w:hint="eastAsia" w:ascii="Times New Roman" w:hAnsi="Times New Roman" w:eastAsia="仿宋_GB2312" w:cs="Times New Roman"/>
          <w:color w:val="000000" w:themeColor="text1"/>
          <w:sz w:val="28"/>
          <w:szCs w:val="28"/>
          <w14:textFill>
            <w14:solidFill>
              <w14:schemeClr w14:val="tx1"/>
            </w14:solidFill>
          </w14:textFill>
        </w:rPr>
        <w:t>》、《海南统计年鉴-201</w:t>
      </w:r>
      <w:r>
        <w:rPr>
          <w:rFonts w:ascii="Times New Roman" w:hAnsi="Times New Roman" w:eastAsia="仿宋_GB2312" w:cs="Times New Roman"/>
          <w:color w:val="000000" w:themeColor="text1"/>
          <w:sz w:val="28"/>
          <w:szCs w:val="28"/>
          <w14:textFill>
            <w14:solidFill>
              <w14:schemeClr w14:val="tx1"/>
            </w14:solidFill>
          </w14:textFill>
        </w:rPr>
        <w:t>5</w:t>
      </w:r>
      <w:r>
        <w:rPr>
          <w:rFonts w:hint="eastAsia" w:ascii="Times New Roman" w:hAnsi="Times New Roman" w:eastAsia="仿宋_GB2312" w:cs="Times New Roman"/>
          <w:color w:val="000000" w:themeColor="text1"/>
          <w:sz w:val="28"/>
          <w:szCs w:val="28"/>
          <w14:textFill>
            <w14:solidFill>
              <w14:schemeClr w14:val="tx1"/>
            </w14:solidFill>
          </w14:textFill>
        </w:rPr>
        <w:t>》、《海南统计年鉴-201</w:t>
      </w:r>
      <w:r>
        <w:rPr>
          <w:rFonts w:ascii="Times New Roman" w:hAnsi="Times New Roman" w:eastAsia="仿宋_GB2312" w:cs="Times New Roman"/>
          <w:color w:val="000000" w:themeColor="text1"/>
          <w:sz w:val="28"/>
          <w:szCs w:val="28"/>
          <w14:textFill>
            <w14:solidFill>
              <w14:schemeClr w14:val="tx1"/>
            </w14:solidFill>
          </w14:textFill>
        </w:rPr>
        <w:t>6</w:t>
      </w:r>
      <w:r>
        <w:rPr>
          <w:rFonts w:hint="eastAsia" w:ascii="Times New Roman" w:hAnsi="Times New Roman" w:eastAsia="仿宋_GB2312" w:cs="Times New Roman"/>
          <w:color w:val="000000" w:themeColor="text1"/>
          <w:sz w:val="28"/>
          <w:szCs w:val="28"/>
          <w14:textFill>
            <w14:solidFill>
              <w14:schemeClr w14:val="tx1"/>
            </w14:solidFill>
          </w14:textFill>
        </w:rPr>
        <w:t>》、《海南统计年鉴-201</w:t>
      </w:r>
      <w:r>
        <w:rPr>
          <w:rFonts w:ascii="Times New Roman" w:hAnsi="Times New Roman" w:eastAsia="仿宋_GB2312" w:cs="Times New Roman"/>
          <w:color w:val="000000" w:themeColor="text1"/>
          <w:sz w:val="28"/>
          <w:szCs w:val="28"/>
          <w14:textFill>
            <w14:solidFill>
              <w14:schemeClr w14:val="tx1"/>
            </w14:solidFill>
          </w14:textFill>
        </w:rPr>
        <w:t>7</w:t>
      </w:r>
      <w:r>
        <w:rPr>
          <w:rFonts w:hint="eastAsia" w:ascii="Times New Roman" w:hAnsi="Times New Roman" w:eastAsia="仿宋_GB2312" w:cs="Times New Roman"/>
          <w:color w:val="000000" w:themeColor="text1"/>
          <w:sz w:val="28"/>
          <w:szCs w:val="28"/>
          <w14:textFill>
            <w14:solidFill>
              <w14:schemeClr w14:val="tx1"/>
            </w14:solidFill>
          </w14:textFill>
        </w:rPr>
        <w:t>》</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1</w:t>
      </w:r>
      <w:r>
        <w:rPr>
          <w:rFonts w:ascii="Times New Roman" w:hAnsi="Times New Roman" w:eastAsia="仿宋_GB2312" w:cs="Times New Roman"/>
          <w:color w:val="000000" w:themeColor="text1"/>
          <w:sz w:val="28"/>
          <w:szCs w:val="28"/>
          <w14:textFill>
            <w14:solidFill>
              <w14:schemeClr w14:val="tx1"/>
            </w14:solidFill>
          </w14:textFill>
        </w:rPr>
        <w:t>6.</w:t>
      </w:r>
      <w:r>
        <w:rPr>
          <w:rFonts w:hint="eastAsia" w:ascii="Times New Roman" w:hAnsi="Times New Roman" w:eastAsia="仿宋_GB2312" w:cs="Times New Roman"/>
          <w:color w:val="000000" w:themeColor="text1"/>
          <w:sz w:val="28"/>
          <w:szCs w:val="28"/>
          <w14:textFill>
            <w14:solidFill>
              <w14:schemeClr w14:val="tx1"/>
            </w14:solidFill>
          </w14:textFill>
        </w:rPr>
        <w:t>《海南省装配式建筑推进工作联席会议办公室关于印发&lt;海南省装配式建筑发展目标责任考核办法&gt;的通知》（琼装配办</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w:t>
      </w:r>
      <w:r>
        <w:rPr>
          <w:rFonts w:hint="eastAsia" w:ascii="Times New Roman" w:hAnsi="Times New Roman" w:eastAsia="仿宋_GB2312" w:cs="Times New Roman"/>
          <w:color w:val="000000" w:themeColor="text1"/>
          <w:sz w:val="28"/>
          <w:szCs w:val="28"/>
          <w14:textFill>
            <w14:solidFill>
              <w14:schemeClr w14:val="tx1"/>
            </w14:solidFill>
          </w14:textFill>
        </w:rPr>
        <w:t>8</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1</w:t>
      </w:r>
      <w:r>
        <w:rPr>
          <w:rFonts w:hint="eastAsia" w:ascii="Times New Roman" w:hAnsi="Times New Roman" w:eastAsia="仿宋_GB2312" w:cs="Times New Roman"/>
          <w:color w:val="000000" w:themeColor="text1"/>
          <w:sz w:val="28"/>
          <w:szCs w:val="28"/>
          <w14:textFill>
            <w14:solidFill>
              <w14:schemeClr w14:val="tx1"/>
            </w14:solidFill>
          </w14:textFill>
        </w:rPr>
        <w:t>号）</w:t>
      </w:r>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bookmarkStart w:id="24" w:name="_Toc30662"/>
      <w:bookmarkStart w:id="25" w:name="_Toc343617550"/>
      <w:bookmarkStart w:id="26" w:name="_Toc343691958"/>
      <w:bookmarkStart w:id="27" w:name="_Toc342491559"/>
      <w:bookmarkStart w:id="28" w:name="_Toc346465475"/>
      <w:bookmarkStart w:id="29" w:name="_Toc346717799"/>
      <w:bookmarkStart w:id="30" w:name="_Toc494555755"/>
      <w:bookmarkStart w:id="31" w:name="_Toc25721"/>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（三）市级层面</w:t>
      </w:r>
      <w:bookmarkEnd w:id="24"/>
      <w:bookmarkEnd w:id="25"/>
      <w:bookmarkEnd w:id="26"/>
      <w:bookmarkEnd w:id="27"/>
      <w:bookmarkEnd w:id="28"/>
      <w:bookmarkEnd w:id="29"/>
      <w:bookmarkEnd w:id="30"/>
      <w:bookmarkEnd w:id="31"/>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1</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五指山市国民经济和社会发展第十三个五年规划纲要</w:t>
      </w:r>
      <w:r>
        <w:rPr>
          <w:rFonts w:ascii="Times New Roman" w:hAnsi="Times New Roman" w:eastAsia="仿宋_GB2312" w:cs="Times New Roman"/>
          <w:color w:val="000000" w:themeColor="text1"/>
          <w:sz w:val="28"/>
          <w:szCs w:val="28"/>
          <w14:textFill>
            <w14:solidFill>
              <w14:schemeClr w14:val="tx1"/>
            </w14:solidFill>
          </w14:textFill>
        </w:rPr>
        <w:t>》</w:t>
      </w:r>
    </w:p>
    <w:p>
      <w:p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2</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《五指山市人民政府办公室关于同意建立五指山市装配式建筑推进工作联席会议制度的函》（五府办函</w:t>
      </w:r>
      <w:r>
        <w:rPr>
          <w:rFonts w:hint="eastAsia"/>
        </w:rPr>
        <w:t>﹝</w:t>
      </w:r>
      <w:r>
        <w:rPr>
          <w:rFonts w:ascii="Times New Roman" w:hAnsi="Times New Roman" w:eastAsia="仿宋_GB2312" w:cs="Times New Roman"/>
          <w:color w:val="000000" w:themeColor="text1"/>
          <w:sz w:val="28"/>
          <w:szCs w:val="28"/>
          <w14:textFill>
            <w14:solidFill>
              <w14:schemeClr w14:val="tx1"/>
            </w14:solidFill>
          </w14:textFill>
        </w:rPr>
        <w:t>201</w:t>
      </w:r>
      <w:r>
        <w:rPr>
          <w:rFonts w:hint="eastAsia" w:ascii="Times New Roman" w:hAnsi="Times New Roman" w:eastAsia="仿宋_GB2312" w:cs="Times New Roman"/>
          <w:color w:val="000000" w:themeColor="text1"/>
          <w:sz w:val="28"/>
          <w:szCs w:val="28"/>
          <w14:textFill>
            <w14:solidFill>
              <w14:schemeClr w14:val="tx1"/>
            </w14:solidFill>
          </w14:textFill>
        </w:rPr>
        <w:t>8</w:t>
      </w:r>
      <w:r>
        <w:rPr>
          <w:rFonts w:hint="eastAsia"/>
        </w:rPr>
        <w:t>﹞</w:t>
      </w:r>
      <w:r>
        <w:rPr>
          <w:rFonts w:hint="eastAsia" w:ascii="Times New Roman" w:hAnsi="Times New Roman" w:eastAsia="仿宋_GB2312" w:cs="Times New Roman"/>
          <w:color w:val="000000" w:themeColor="text1"/>
          <w:sz w:val="28"/>
          <w:szCs w:val="28"/>
          <w14:textFill>
            <w14:solidFill>
              <w14:schemeClr w14:val="tx1"/>
            </w14:solidFill>
          </w14:textFill>
        </w:rPr>
        <w:t>20号）</w:t>
      </w:r>
    </w:p>
    <w:p>
      <w:pPr>
        <w:numPr>
          <w:ilvl w:val="255"/>
          <w:numId w:val="0"/>
        </w:numPr>
        <w:spacing w:line="384"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3</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《五指山市统计年鉴》</w:t>
      </w:r>
    </w:p>
    <w:p>
      <w:pPr>
        <w:widowControl/>
        <w:jc w:val="left"/>
        <w:rPr>
          <w:rFonts w:ascii="Times New Roman" w:hAnsi="Times New Roman" w:eastAsia="黑体" w:cs="黑体"/>
          <w:b/>
          <w:color w:val="000000" w:themeColor="text1"/>
          <w:kern w:val="44"/>
          <w:sz w:val="32"/>
          <w:szCs w:val="32"/>
          <w14:textFill>
            <w14:solidFill>
              <w14:schemeClr w14:val="tx1"/>
            </w14:solidFill>
          </w14:textFill>
        </w:rPr>
      </w:pPr>
      <w:bookmarkStart w:id="32" w:name="_Toc9493"/>
      <w:r>
        <w:rPr>
          <w:rFonts w:ascii="Times New Roman" w:hAnsi="Times New Roman" w:eastAsia="黑体" w:cs="黑体"/>
          <w:color w:val="000000" w:themeColor="text1"/>
          <w:sz w:val="32"/>
          <w:szCs w:val="32"/>
          <w14:textFill>
            <w14:solidFill>
              <w14:schemeClr w14:val="tx1"/>
            </w14:solidFill>
          </w14:textFill>
        </w:rPr>
        <w:br w:type="page"/>
      </w:r>
    </w:p>
    <w:p>
      <w:pPr>
        <w:pStyle w:val="2"/>
        <w:jc w:val="center"/>
        <w:rPr>
          <w:rFonts w:ascii="Times New Roman" w:hAnsi="Times New Roman" w:eastAsia="黑体" w:cs="黑体"/>
          <w:color w:val="000000" w:themeColor="text1"/>
          <w:sz w:val="32"/>
          <w:szCs w:val="32"/>
          <w14:textFill>
            <w14:solidFill>
              <w14:schemeClr w14:val="tx1"/>
            </w14:solidFill>
          </w14:textFill>
        </w:rPr>
      </w:pPr>
      <w:bookmarkStart w:id="33" w:name="_Toc529282334"/>
      <w:bookmarkStart w:id="34" w:name="_Toc17428"/>
      <w:r>
        <w:rPr>
          <w:rFonts w:hint="eastAsia" w:ascii="Times New Roman" w:hAnsi="Times New Roman" w:eastAsia="黑体" w:cs="黑体"/>
          <w:color w:val="000000" w:themeColor="text1"/>
          <w:sz w:val="32"/>
          <w:szCs w:val="32"/>
          <w14:textFill>
            <w14:solidFill>
              <w14:schemeClr w14:val="tx1"/>
            </w14:solidFill>
          </w14:textFill>
        </w:rPr>
        <w:t>第二章 发展现状</w:t>
      </w:r>
      <w:bookmarkEnd w:id="32"/>
      <w:bookmarkEnd w:id="33"/>
      <w:bookmarkEnd w:id="34"/>
    </w:p>
    <w:p>
      <w:pPr>
        <w:pStyle w:val="3"/>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35" w:name="_Toc12320"/>
      <w:bookmarkStart w:id="36" w:name="_Toc529282335"/>
      <w:bookmarkStart w:id="37" w:name="_Toc17537"/>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一、五指山市基本情况</w:t>
      </w:r>
      <w:bookmarkEnd w:id="35"/>
      <w:bookmarkEnd w:id="36"/>
      <w:bookmarkEnd w:id="37"/>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（一）地理区位</w:t>
      </w:r>
    </w:p>
    <w:p>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五指山市位于海南岛中南部五指山腹地，</w:t>
      </w:r>
      <w:r>
        <w:rPr>
          <w:rFonts w:ascii="Times New Roman" w:hAnsi="Times New Roman" w:eastAsia="仿宋_GB2312" w:cs="Times New Roman"/>
          <w:color w:val="000000" w:themeColor="text1"/>
          <w:sz w:val="28"/>
          <w:szCs w:val="28"/>
          <w14:textFill>
            <w14:solidFill>
              <w14:schemeClr w14:val="tx1"/>
            </w14:solidFill>
          </w14:textFill>
        </w:rPr>
        <w:t>地处</w:t>
      </w:r>
      <w:r>
        <w:rPr>
          <w:rFonts w:hint="eastAsia" w:ascii="Times New Roman" w:hAnsi="Times New Roman" w:eastAsia="仿宋_GB2312" w:cs="Times New Roman"/>
          <w:color w:val="000000" w:themeColor="text1"/>
          <w:sz w:val="28"/>
          <w:szCs w:val="28"/>
          <w14:textFill>
            <w14:solidFill>
              <w14:schemeClr w14:val="tx1"/>
            </w14:solidFill>
          </w14:textFill>
        </w:rPr>
        <w:t>东经109°19′~109°44′</w:t>
      </w:r>
      <w:r>
        <w:rPr>
          <w:rFonts w:ascii="Times New Roman" w:hAnsi="Times New Roman" w:eastAsia="仿宋_GB2312" w:cs="Times New Roman"/>
          <w:color w:val="000000" w:themeColor="text1"/>
          <w:sz w:val="28"/>
          <w:szCs w:val="28"/>
          <w14:textFill>
            <w14:solidFill>
              <w14:schemeClr w14:val="tx1"/>
            </w14:solidFill>
          </w14:textFill>
        </w:rPr>
        <w:t>，北纬18°38′~19°02′</w:t>
      </w:r>
      <w:r>
        <w:rPr>
          <w:rFonts w:hint="eastAsia" w:ascii="Times New Roman" w:hAnsi="Times New Roman" w:eastAsia="仿宋_GB2312" w:cs="Times New Roman"/>
          <w:color w:val="000000" w:themeColor="text1"/>
          <w:sz w:val="28"/>
          <w:szCs w:val="28"/>
          <w14:textFill>
            <w14:solidFill>
              <w14:schemeClr w14:val="tx1"/>
            </w14:solidFill>
          </w14:textFill>
        </w:rPr>
        <w:t>，东邻琼中黎族苗族自治县，西接乐东黎族自治县，南抵保亭黎族苗族自治县，北濒白沙黎族自治县、琼中黎族苗族自治县。市境东西宽43.1公里，南北长45公里，全市土地总面积113080.95公顷。</w:t>
      </w:r>
    </w:p>
    <w:p>
      <w:pPr>
        <w:spacing w:line="360" w:lineRule="auto"/>
        <w:jc w:val="center"/>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5630545" cy="3905250"/>
            <wp:effectExtent l="0" t="0" r="8255" b="0"/>
            <wp:docPr id="9" name="图片 9" descr="E:\张云娟\张云娟2018\课题\装配式建筑规划\各市县装配式规划\五指山\规划委\五指山多规合一1228\01-区位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张云娟\张云娟2018\课题\装配式建筑规划\各市县装配式规划\五指山\规划委\五指山多规合一1228\01-区位图.jpg"/>
                    <pic:cNvPicPr>
                      <a:picLocks noChangeAspect="1" noChangeArrowheads="1"/>
                    </pic:cNvPicPr>
                  </pic:nvPicPr>
                  <pic:blipFill>
                    <a:blip r:embed="rId7" cstate="print">
                      <a:extLst>
                        <a:ext uri="{28A0092B-C50C-407E-A947-70E740481C1C}">
                          <a14:useLocalDpi xmlns:a14="http://schemas.microsoft.com/office/drawing/2010/main" val="0"/>
                        </a:ext>
                      </a:extLst>
                    </a:blip>
                    <a:srcRect l="3295" t="1644" r="3100" b="6545"/>
                    <a:stretch>
                      <a:fillRect/>
                    </a:stretch>
                  </pic:blipFill>
                  <pic:spPr>
                    <a:xfrm>
                      <a:off x="0" y="0"/>
                      <a:ext cx="5629156" cy="3904280"/>
                    </a:xfrm>
                    <a:prstGeom prst="rect">
                      <a:avLst/>
                    </a:prstGeom>
                    <a:noFill/>
                    <a:ln>
                      <a:noFill/>
                    </a:ln>
                  </pic:spPr>
                </pic:pic>
              </a:graphicData>
            </a:graphic>
          </wp:inline>
        </w:drawing>
      </w:r>
    </w:p>
    <w:p>
      <w:pPr>
        <w:spacing w:line="360" w:lineRule="auto"/>
        <w:jc w:val="center"/>
        <w:rPr>
          <w:rFonts w:ascii="Times New Roman" w:hAnsi="Times New Roman" w:eastAsia="仿宋" w:cs="Times New Roman"/>
          <w:b/>
          <w:bCs/>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图</w:t>
      </w:r>
      <w:r>
        <w:rPr>
          <w:rFonts w:ascii="Times New Roman" w:hAnsi="Times New Roman" w:eastAsia="仿宋" w:cs="Times New Roman"/>
          <w:b/>
          <w:bCs/>
          <w:color w:val="000000" w:themeColor="text1"/>
          <w:sz w:val="24"/>
          <w:szCs w:val="24"/>
          <w14:textFill>
            <w14:solidFill>
              <w14:schemeClr w14:val="tx1"/>
            </w14:solidFill>
          </w14:textFill>
        </w:rPr>
        <w:t xml:space="preserve">2-1-1 </w:t>
      </w:r>
      <w:r>
        <w:rPr>
          <w:rFonts w:hint="eastAsia" w:ascii="Times New Roman" w:hAnsi="Times New Roman" w:eastAsia="仿宋" w:cs="Times New Roman"/>
          <w:b/>
          <w:bCs/>
          <w:color w:val="000000" w:themeColor="text1"/>
          <w:sz w:val="24"/>
          <w:szCs w:val="24"/>
          <w14:textFill>
            <w14:solidFill>
              <w14:schemeClr w14:val="tx1"/>
            </w14:solidFill>
          </w14:textFill>
        </w:rPr>
        <w:t>五指山市区位图</w:t>
      </w:r>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（二）人口情况</w:t>
      </w:r>
    </w:p>
    <w:p>
      <w:pPr>
        <w:spacing w:line="360" w:lineRule="auto"/>
        <w:ind w:firstLine="560" w:firstLineChars="200"/>
        <w:rPr>
          <w:rStyle w:val="20"/>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kern w:val="0"/>
          <w:sz w:val="28"/>
          <w:szCs w:val="28"/>
          <w14:textFill>
            <w14:solidFill>
              <w14:schemeClr w14:val="tx1"/>
            </w14:solidFill>
          </w14:textFill>
        </w:rPr>
        <w:t>五指山市常住人口</w:t>
      </w:r>
      <w:r>
        <w:rPr>
          <w:rFonts w:ascii="Times New Roman" w:hAnsi="Times New Roman" w:eastAsia="仿宋_GB2312" w:cs="Times New Roman"/>
          <w:color w:val="000000" w:themeColor="text1"/>
          <w:kern w:val="0"/>
          <w:sz w:val="28"/>
          <w:szCs w:val="28"/>
          <w14:textFill>
            <w14:solidFill>
              <w14:schemeClr w14:val="tx1"/>
            </w14:solidFill>
          </w14:textFill>
        </w:rPr>
        <w:t>10.6</w:t>
      </w:r>
      <w:r>
        <w:rPr>
          <w:rFonts w:hint="eastAsia" w:ascii="Times New Roman" w:hAnsi="Times New Roman" w:eastAsia="仿宋_GB2312" w:cs="Times New Roman"/>
          <w:color w:val="000000" w:themeColor="text1"/>
          <w:kern w:val="0"/>
          <w:sz w:val="28"/>
          <w:szCs w:val="28"/>
          <w14:textFill>
            <w14:solidFill>
              <w14:schemeClr w14:val="tx1"/>
            </w14:solidFill>
          </w14:textFill>
        </w:rPr>
        <w:t>5万人，户籍总户数34</w:t>
      </w:r>
      <w:r>
        <w:rPr>
          <w:rFonts w:ascii="Times New Roman" w:hAnsi="Times New Roman" w:eastAsia="仿宋_GB2312" w:cs="Times New Roman"/>
          <w:color w:val="000000" w:themeColor="text1"/>
          <w:kern w:val="0"/>
          <w:sz w:val="28"/>
          <w:szCs w:val="28"/>
          <w14:textFill>
            <w14:solidFill>
              <w14:schemeClr w14:val="tx1"/>
            </w14:solidFill>
          </w14:textFill>
        </w:rPr>
        <w:t>989</w:t>
      </w:r>
      <w:r>
        <w:rPr>
          <w:rFonts w:hint="eastAsia" w:ascii="Times New Roman" w:hAnsi="Times New Roman" w:eastAsia="仿宋_GB2312" w:cs="Times New Roman"/>
          <w:color w:val="000000" w:themeColor="text1"/>
          <w:kern w:val="0"/>
          <w:sz w:val="28"/>
          <w:szCs w:val="28"/>
          <w14:textFill>
            <w14:solidFill>
              <w14:schemeClr w14:val="tx1"/>
            </w14:solidFill>
          </w14:textFill>
        </w:rPr>
        <w:t>户，户籍人口10</w:t>
      </w:r>
      <w:r>
        <w:rPr>
          <w:rFonts w:ascii="Times New Roman" w:hAnsi="Times New Roman" w:eastAsia="仿宋_GB2312" w:cs="Times New Roman"/>
          <w:color w:val="000000" w:themeColor="text1"/>
          <w:kern w:val="0"/>
          <w:sz w:val="28"/>
          <w:szCs w:val="28"/>
          <w14:textFill>
            <w14:solidFill>
              <w14:schemeClr w14:val="tx1"/>
            </w14:solidFill>
          </w14:textFill>
        </w:rPr>
        <w:t>5798</w:t>
      </w:r>
      <w:r>
        <w:rPr>
          <w:rFonts w:hint="eastAsia" w:ascii="Times New Roman" w:hAnsi="Times New Roman" w:eastAsia="仿宋_GB2312" w:cs="Times New Roman"/>
          <w:color w:val="000000" w:themeColor="text1"/>
          <w:kern w:val="0"/>
          <w:sz w:val="28"/>
          <w:szCs w:val="28"/>
          <w14:textFill>
            <w14:solidFill>
              <w14:schemeClr w14:val="tx1"/>
            </w14:solidFill>
          </w14:textFill>
        </w:rPr>
        <w:t>人，其中乡村户籍</w:t>
      </w:r>
      <w:r>
        <w:rPr>
          <w:rFonts w:ascii="Times New Roman" w:hAnsi="Times New Roman" w:eastAsia="仿宋_GB2312" w:cs="Times New Roman"/>
          <w:color w:val="000000" w:themeColor="text1"/>
          <w:kern w:val="0"/>
          <w:sz w:val="28"/>
          <w:szCs w:val="28"/>
          <w14:textFill>
            <w14:solidFill>
              <w14:schemeClr w14:val="tx1"/>
            </w14:solidFill>
          </w14:textFill>
        </w:rPr>
        <w:t>63386</w:t>
      </w:r>
      <w:r>
        <w:rPr>
          <w:rFonts w:hint="eastAsia" w:ascii="Times New Roman" w:hAnsi="Times New Roman" w:eastAsia="仿宋_GB2312" w:cs="Times New Roman"/>
          <w:color w:val="000000" w:themeColor="text1"/>
          <w:kern w:val="0"/>
          <w:sz w:val="28"/>
          <w:szCs w:val="28"/>
          <w14:textFill>
            <w14:solidFill>
              <w14:schemeClr w14:val="tx1"/>
            </w14:solidFill>
          </w14:textFill>
        </w:rPr>
        <w:t>人，城镇户籍</w:t>
      </w:r>
      <w:r>
        <w:rPr>
          <w:rFonts w:ascii="Times New Roman" w:hAnsi="Times New Roman" w:eastAsia="仿宋_GB2312" w:cs="Times New Roman"/>
          <w:color w:val="000000" w:themeColor="text1"/>
          <w:kern w:val="0"/>
          <w:sz w:val="28"/>
          <w:szCs w:val="28"/>
          <w14:textFill>
            <w14:solidFill>
              <w14:schemeClr w14:val="tx1"/>
            </w14:solidFill>
          </w14:textFill>
        </w:rPr>
        <w:t>48412</w:t>
      </w:r>
      <w:r>
        <w:rPr>
          <w:rFonts w:hint="eastAsia" w:ascii="Times New Roman" w:hAnsi="Times New Roman" w:eastAsia="仿宋_GB2312" w:cs="Times New Roman"/>
          <w:color w:val="000000" w:themeColor="text1"/>
          <w:kern w:val="0"/>
          <w:sz w:val="28"/>
          <w:szCs w:val="28"/>
          <w14:textFill>
            <w14:solidFill>
              <w14:schemeClr w14:val="tx1"/>
            </w14:solidFill>
          </w14:textFill>
        </w:rPr>
        <w:t>人</w:t>
      </w:r>
      <w:r>
        <w:rPr>
          <w:rFonts w:ascii="Times New Roman" w:hAnsi="Times New Roman" w:eastAsia="仿宋_GB2312" w:cs="Times New Roman"/>
          <w:color w:val="000000" w:themeColor="text1"/>
          <w:sz w:val="28"/>
          <w:szCs w:val="28"/>
          <w14:textFill>
            <w14:solidFill>
              <w14:schemeClr w14:val="tx1"/>
            </w14:solidFill>
          </w14:textFill>
        </w:rPr>
        <w:t>。</w:t>
      </w:r>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（三） 经济发展</w:t>
      </w:r>
    </w:p>
    <w:p>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据统计，</w:t>
      </w:r>
      <w:r>
        <w:rPr>
          <w:rFonts w:ascii="Times New Roman" w:hAnsi="Times New Roman" w:eastAsia="仿宋_GB2312" w:cs="Times New Roman"/>
          <w:color w:val="000000" w:themeColor="text1"/>
          <w:sz w:val="28"/>
          <w:szCs w:val="28"/>
          <w14:textFill>
            <w14:solidFill>
              <w14:schemeClr w14:val="tx1"/>
            </w14:solidFill>
          </w14:textFill>
        </w:rPr>
        <w:t>2017年</w:t>
      </w:r>
      <w:r>
        <w:rPr>
          <w:rFonts w:hint="eastAsia" w:ascii="Times New Roman" w:hAnsi="Times New Roman" w:eastAsia="仿宋_GB2312" w:cs="Times New Roman"/>
          <w:color w:val="000000" w:themeColor="text1"/>
          <w:sz w:val="28"/>
          <w:szCs w:val="28"/>
          <w14:textFill>
            <w14:solidFill>
              <w14:schemeClr w14:val="tx1"/>
            </w14:solidFill>
          </w14:textFill>
        </w:rPr>
        <w:t>五指山</w:t>
      </w:r>
      <w:r>
        <w:rPr>
          <w:rFonts w:ascii="Times New Roman" w:hAnsi="Times New Roman" w:eastAsia="仿宋_GB2312" w:cs="Times New Roman"/>
          <w:color w:val="000000" w:themeColor="text1"/>
          <w:sz w:val="28"/>
          <w:szCs w:val="28"/>
          <w14:textFill>
            <w14:solidFill>
              <w14:schemeClr w14:val="tx1"/>
            </w14:solidFill>
          </w14:textFill>
        </w:rPr>
        <w:t>全市生产总值完成27.19亿元，2011到2017年，</w:t>
      </w:r>
      <w:r>
        <w:rPr>
          <w:rFonts w:hint="eastAsia" w:ascii="Times New Roman" w:hAnsi="Times New Roman" w:eastAsia="仿宋_GB2312" w:cs="Times New Roman"/>
          <w:color w:val="000000" w:themeColor="text1"/>
          <w:sz w:val="28"/>
          <w:szCs w:val="28"/>
          <w14:textFill>
            <w14:solidFill>
              <w14:schemeClr w14:val="tx1"/>
            </w14:solidFill>
          </w14:textFill>
        </w:rPr>
        <w:t>全市生产总值每年平均以9.</w:t>
      </w:r>
      <w:r>
        <w:rPr>
          <w:rFonts w:ascii="Times New Roman" w:hAnsi="Times New Roman" w:eastAsia="仿宋_GB2312" w:cs="Times New Roman"/>
          <w:color w:val="000000" w:themeColor="text1"/>
          <w:sz w:val="28"/>
          <w:szCs w:val="28"/>
          <w14:textFill>
            <w14:solidFill>
              <w14:schemeClr w14:val="tx1"/>
            </w14:solidFill>
          </w14:textFill>
        </w:rPr>
        <w:t>1</w:t>
      </w:r>
      <w:r>
        <w:rPr>
          <w:rFonts w:hint="eastAsia" w:ascii="Times New Roman" w:hAnsi="Times New Roman" w:eastAsia="仿宋_GB2312" w:cs="Times New Roman"/>
          <w:color w:val="000000" w:themeColor="text1"/>
          <w:sz w:val="28"/>
          <w:szCs w:val="28"/>
          <w14:textFill>
            <w14:solidFill>
              <w14:schemeClr w14:val="tx1"/>
            </w14:solidFill>
          </w14:textFill>
        </w:rPr>
        <w:t>%的增长率平稳持续增长</w:t>
      </w:r>
      <w:r>
        <w:rPr>
          <w:rFonts w:ascii="Times New Roman" w:hAnsi="Times New Roman" w:eastAsia="仿宋_GB2312" w:cs="Times New Roman"/>
          <w:color w:val="000000" w:themeColor="text1"/>
          <w:sz w:val="28"/>
          <w:szCs w:val="28"/>
          <w14:textFill>
            <w14:solidFill>
              <w14:schemeClr w14:val="tx1"/>
            </w14:solidFill>
          </w14:textFill>
        </w:rPr>
        <w:t>（图2-</w:t>
      </w:r>
      <w:r>
        <w:rPr>
          <w:rFonts w:hint="eastAsia" w:ascii="Times New Roman" w:hAnsi="Times New Roman" w:eastAsia="仿宋_GB2312" w:cs="Times New Roman"/>
          <w:color w:val="000000" w:themeColor="text1"/>
          <w:sz w:val="28"/>
          <w:szCs w:val="28"/>
          <w14:textFill>
            <w14:solidFill>
              <w14:schemeClr w14:val="tx1"/>
            </w14:solidFill>
          </w14:textFill>
        </w:rPr>
        <w:t>1-2</w:t>
      </w:r>
      <w:r>
        <w:rPr>
          <w:rFonts w:ascii="Times New Roman" w:hAnsi="Times New Roman" w:eastAsia="仿宋_GB2312" w:cs="Times New Roman"/>
          <w:color w:val="000000" w:themeColor="text1"/>
          <w:sz w:val="28"/>
          <w:szCs w:val="28"/>
          <w14:textFill>
            <w14:solidFill>
              <w14:schemeClr w14:val="tx1"/>
            </w14:solidFill>
          </w14:textFill>
        </w:rPr>
        <w:t>）。</w:t>
      </w:r>
    </w:p>
    <w:p>
      <w:pPr>
        <w:spacing w:line="360" w:lineRule="auto"/>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5274310" cy="3076575"/>
            <wp:effectExtent l="0" t="0" r="2540" b="952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图</w:t>
      </w:r>
      <w:r>
        <w:rPr>
          <w:rFonts w:ascii="Times New Roman" w:hAnsi="Times New Roman" w:eastAsia="仿宋" w:cs="Times New Roman"/>
          <w:b/>
          <w:bCs/>
          <w:color w:val="000000" w:themeColor="text1"/>
          <w:sz w:val="24"/>
          <w:szCs w:val="24"/>
          <w14:textFill>
            <w14:solidFill>
              <w14:schemeClr w14:val="tx1"/>
            </w14:solidFill>
          </w14:textFill>
        </w:rPr>
        <w:t>2-1-2 2011-2017</w:t>
      </w:r>
      <w:r>
        <w:rPr>
          <w:rFonts w:hint="eastAsia" w:ascii="Times New Roman" w:hAnsi="Times New Roman" w:eastAsia="仿宋" w:cs="Times New Roman"/>
          <w:b/>
          <w:bCs/>
          <w:color w:val="000000" w:themeColor="text1"/>
          <w:sz w:val="24"/>
          <w:szCs w:val="24"/>
          <w14:textFill>
            <w14:solidFill>
              <w14:schemeClr w14:val="tx1"/>
            </w14:solidFill>
          </w14:textFill>
        </w:rPr>
        <w:t>年全市生产总值</w:t>
      </w:r>
      <w:r>
        <w:rPr>
          <w:rStyle w:val="20"/>
          <w:rFonts w:ascii="Times New Roman" w:hAnsi="Times New Roman" w:eastAsia="仿宋_GB2312" w:cs="Times New Roman"/>
          <w:color w:val="000000" w:themeColor="text1"/>
          <w:sz w:val="24"/>
          <w:szCs w:val="24"/>
          <w14:textFill>
            <w14:solidFill>
              <w14:schemeClr w14:val="tx1"/>
            </w14:solidFill>
          </w14:textFill>
        </w:rPr>
        <w:t>[</w:t>
      </w:r>
      <w:r>
        <w:rPr>
          <w:rStyle w:val="20"/>
          <w:rFonts w:ascii="Times New Roman" w:hAnsi="Times New Roman" w:eastAsia="仿宋_GB2312" w:cs="Times New Roman"/>
          <w:color w:val="000000" w:themeColor="text1"/>
          <w:sz w:val="24"/>
          <w:szCs w:val="24"/>
          <w14:textFill>
            <w14:solidFill>
              <w14:schemeClr w14:val="tx1"/>
            </w14:solidFill>
          </w14:textFill>
        </w:rPr>
        <w:footnoteReference w:id="0"/>
      </w:r>
      <w:r>
        <w:rPr>
          <w:rStyle w:val="20"/>
          <w:rFonts w:ascii="Times New Roman" w:hAnsi="Times New Roman" w:eastAsia="仿宋_GB2312" w:cs="Times New Roman"/>
          <w:color w:val="000000" w:themeColor="text1"/>
          <w:sz w:val="24"/>
          <w:szCs w:val="24"/>
          <w14:textFill>
            <w14:solidFill>
              <w14:schemeClr w14:val="tx1"/>
            </w14:solidFill>
          </w14:textFill>
        </w:rPr>
        <w:t>]</w:t>
      </w:r>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（四）交通情况</w:t>
      </w:r>
    </w:p>
    <w:p>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五指山市连接岛内其他市县的交通设施以及五指山市域市政基础设施还有待完善。目前海榆中线国道、毛九公路省道贯穿五指山市，以及市内多条旅游专线、县道、乡道共同构成五指山市交通网络。根据未来海南省总体规划，在海南岛中部东西贯穿一条从儋州到万宁的高速公路，可增强五指山与其他市县连接的便利性。</w:t>
      </w:r>
    </w:p>
    <w:p>
      <w:pPr>
        <w:spacing w:line="360" w:lineRule="auto"/>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5172075" cy="3800475"/>
            <wp:effectExtent l="0" t="0" r="9525" b="0"/>
            <wp:docPr id="10" name="图片 10" descr="C:\Users\Administrator\Desktop\17867620_96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17867620_9615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71252" cy="3799742"/>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图2-1-3 海南省总体规划（2015-2030）——交通规划图</w:t>
      </w:r>
      <w:r>
        <w:rPr>
          <w:rStyle w:val="20"/>
          <w:rFonts w:hint="eastAsia" w:ascii="Times New Roman" w:hAnsi="Times New Roman" w:eastAsia="仿宋" w:cs="Times New Roman"/>
          <w:b/>
          <w:bCs/>
          <w:color w:val="000000" w:themeColor="text1"/>
          <w:sz w:val="24"/>
          <w:szCs w:val="24"/>
          <w14:textFill>
            <w14:solidFill>
              <w14:schemeClr w14:val="tx1"/>
            </w14:solidFill>
          </w14:textFill>
        </w:rPr>
        <w:t>[</w:t>
      </w:r>
      <w:r>
        <w:rPr>
          <w:rStyle w:val="20"/>
          <w:rFonts w:hint="eastAsia" w:ascii="Times New Roman" w:hAnsi="Times New Roman" w:eastAsia="仿宋" w:cs="Times New Roman"/>
          <w:b/>
          <w:bCs/>
          <w:color w:val="000000" w:themeColor="text1"/>
          <w:sz w:val="24"/>
          <w:szCs w:val="24"/>
          <w14:textFill>
            <w14:solidFill>
              <w14:schemeClr w14:val="tx1"/>
            </w14:solidFill>
          </w14:textFill>
        </w:rPr>
        <w:footnoteReference w:id="1"/>
      </w:r>
      <w:r>
        <w:rPr>
          <w:rStyle w:val="20"/>
          <w:rFonts w:hint="eastAsia" w:ascii="Times New Roman" w:hAnsi="Times New Roman" w:eastAsia="仿宋" w:cs="Times New Roman"/>
          <w:b/>
          <w:bCs/>
          <w:color w:val="000000" w:themeColor="text1"/>
          <w:sz w:val="24"/>
          <w:szCs w:val="24"/>
          <w14:textFill>
            <w14:solidFill>
              <w14:schemeClr w14:val="tx1"/>
            </w14:solidFill>
          </w14:textFill>
        </w:rPr>
        <w:t>]</w:t>
      </w: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114300" distR="114300">
            <wp:extent cx="5172075" cy="3940175"/>
            <wp:effectExtent l="0" t="0" r="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rcRect t="8073"/>
                    <a:stretch>
                      <a:fillRect/>
                    </a:stretch>
                  </pic:blipFill>
                  <pic:spPr>
                    <a:xfrm>
                      <a:off x="0" y="0"/>
                      <a:ext cx="5175166" cy="3942984"/>
                    </a:xfrm>
                    <a:prstGeom prst="rect">
                      <a:avLst/>
                    </a:prstGeom>
                    <a:noFill/>
                    <a:ln w="9525">
                      <a:noFill/>
                    </a:ln>
                  </pic:spPr>
                </pic:pic>
              </a:graphicData>
            </a:graphic>
          </wp:inline>
        </w:drawing>
      </w:r>
    </w:p>
    <w:p>
      <w:pPr>
        <w:spacing w:line="360" w:lineRule="auto"/>
        <w:jc w:val="center"/>
        <w:rPr>
          <w:rFonts w:ascii="Times New Roman" w:hAnsi="Times New Roman" w:eastAsia="仿宋" w:cs="Times New Roman"/>
          <w:b/>
          <w:bCs/>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图2-1-4 五指山市综合交通运输“十三五”发展规划——交通示意图</w:t>
      </w:r>
      <w:r>
        <w:rPr>
          <w:rStyle w:val="20"/>
          <w:rFonts w:hint="eastAsia" w:ascii="Times New Roman" w:hAnsi="Times New Roman" w:eastAsia="仿宋" w:cs="Times New Roman"/>
          <w:b/>
          <w:bCs/>
          <w:color w:val="000000" w:themeColor="text1"/>
          <w:sz w:val="24"/>
          <w:szCs w:val="24"/>
          <w14:textFill>
            <w14:solidFill>
              <w14:schemeClr w14:val="tx1"/>
            </w14:solidFill>
          </w14:textFill>
        </w:rPr>
        <w:t>[</w:t>
      </w:r>
      <w:r>
        <w:rPr>
          <w:rStyle w:val="20"/>
          <w:rFonts w:hint="eastAsia" w:ascii="Times New Roman" w:hAnsi="Times New Roman" w:eastAsia="仿宋" w:cs="Times New Roman"/>
          <w:b/>
          <w:bCs/>
          <w:color w:val="000000" w:themeColor="text1"/>
          <w:sz w:val="24"/>
          <w:szCs w:val="24"/>
          <w14:textFill>
            <w14:solidFill>
              <w14:schemeClr w14:val="tx1"/>
            </w14:solidFill>
          </w14:textFill>
        </w:rPr>
        <w:footnoteReference w:id="2"/>
      </w:r>
      <w:r>
        <w:rPr>
          <w:rStyle w:val="20"/>
          <w:rFonts w:hint="eastAsia" w:ascii="Times New Roman" w:hAnsi="Times New Roman" w:eastAsia="仿宋" w:cs="Times New Roman"/>
          <w:b/>
          <w:bCs/>
          <w:color w:val="000000" w:themeColor="text1"/>
          <w:sz w:val="24"/>
          <w:szCs w:val="24"/>
          <w14:textFill>
            <w14:solidFill>
              <w14:schemeClr w14:val="tx1"/>
            </w14:solidFill>
          </w14:textFill>
        </w:rPr>
        <w:t>]</w:t>
      </w:r>
    </w:p>
    <w:p>
      <w:pPr>
        <w:pStyle w:val="3"/>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38" w:name="_Toc529282336"/>
      <w:bookmarkStart w:id="39" w:name="_Toc21775"/>
      <w:bookmarkStart w:id="40" w:name="_Toc27985"/>
      <w:bookmarkStart w:id="41" w:name="_Toc19156"/>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二、五指山市建筑业发展情况</w:t>
      </w:r>
      <w:bookmarkEnd w:id="38"/>
      <w:bookmarkEnd w:id="39"/>
      <w:bookmarkEnd w:id="40"/>
      <w:bookmarkEnd w:id="41"/>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（一）建筑业发展现状</w:t>
      </w:r>
    </w:p>
    <w:p>
      <w:pPr>
        <w:ind w:firstLine="560" w:firstLineChars="200"/>
        <w:rPr>
          <w:rFonts w:hint="eastAsia"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在海南省“一带一路”发展战略背景下，五指山市通过自身独特的地理优势和自然环境，旅游业得到发展，推动五指山市整体建设量不断提高。根据统计数据，五指山市房地产开发投资在2014年达到高峰期，投资额达155426万元（如图2-2-1）；截止201</w:t>
      </w:r>
      <w:r>
        <w:rPr>
          <w:rFonts w:ascii="Times New Roman" w:hAnsi="Times New Roman" w:eastAsia="仿宋_GB2312" w:cs="Times New Roman"/>
          <w:color w:val="000000" w:themeColor="text1"/>
          <w:sz w:val="28"/>
          <w:szCs w:val="28"/>
          <w14:textFill>
            <w14:solidFill>
              <w14:schemeClr w14:val="tx1"/>
            </w14:solidFill>
          </w14:textFill>
        </w:rPr>
        <w:t>7</w:t>
      </w:r>
      <w:r>
        <w:rPr>
          <w:rFonts w:hint="eastAsia" w:ascii="Times New Roman" w:hAnsi="Times New Roman" w:eastAsia="仿宋_GB2312" w:cs="Times New Roman"/>
          <w:color w:val="000000" w:themeColor="text1"/>
          <w:sz w:val="28"/>
          <w:szCs w:val="28"/>
          <w14:textFill>
            <w14:solidFill>
              <w14:schemeClr w14:val="tx1"/>
            </w14:solidFill>
          </w14:textFill>
        </w:rPr>
        <w:t>年，五指山市无本地注册的建筑业企业；2011-201</w:t>
      </w:r>
      <w:r>
        <w:rPr>
          <w:rFonts w:ascii="Times New Roman" w:hAnsi="Times New Roman" w:eastAsia="仿宋_GB2312" w:cs="Times New Roman"/>
          <w:color w:val="000000" w:themeColor="text1"/>
          <w:sz w:val="28"/>
          <w:szCs w:val="28"/>
          <w14:textFill>
            <w14:solidFill>
              <w14:schemeClr w14:val="tx1"/>
            </w14:solidFill>
          </w14:textFill>
        </w:rPr>
        <w:t>7</w:t>
      </w:r>
      <w:r>
        <w:rPr>
          <w:rFonts w:hint="eastAsia" w:ascii="Times New Roman" w:hAnsi="Times New Roman" w:eastAsia="仿宋_GB2312" w:cs="Times New Roman"/>
          <w:color w:val="000000" w:themeColor="text1"/>
          <w:sz w:val="28"/>
          <w:szCs w:val="28"/>
          <w14:textFill>
            <w14:solidFill>
              <w14:schemeClr w14:val="tx1"/>
            </w14:solidFill>
          </w14:textFill>
        </w:rPr>
        <w:t>年，五指山市房地产业从业人数相对稳定，2012年起保持在2000人以上；建筑业从业人数逐年增加，在201</w:t>
      </w:r>
      <w:r>
        <w:rPr>
          <w:rFonts w:ascii="Times New Roman" w:hAnsi="Times New Roman" w:eastAsia="仿宋_GB2312" w:cs="Times New Roman"/>
          <w:color w:val="000000" w:themeColor="text1"/>
          <w:sz w:val="28"/>
          <w:szCs w:val="28"/>
          <w14:textFill>
            <w14:solidFill>
              <w14:schemeClr w14:val="tx1"/>
            </w14:solidFill>
          </w14:textFill>
        </w:rPr>
        <w:t>7</w:t>
      </w:r>
      <w:r>
        <w:rPr>
          <w:rFonts w:hint="eastAsia" w:ascii="Times New Roman" w:hAnsi="Times New Roman" w:eastAsia="仿宋_GB2312" w:cs="Times New Roman"/>
          <w:color w:val="000000" w:themeColor="text1"/>
          <w:sz w:val="28"/>
          <w:szCs w:val="28"/>
          <w14:textFill>
            <w14:solidFill>
              <w14:schemeClr w14:val="tx1"/>
            </w14:solidFill>
          </w14:textFill>
        </w:rPr>
        <w:t>年达到</w:t>
      </w:r>
      <w:r>
        <w:rPr>
          <w:rFonts w:ascii="Times New Roman" w:hAnsi="Times New Roman" w:eastAsia="仿宋_GB2312" w:cs="Times New Roman"/>
          <w:color w:val="000000" w:themeColor="text1"/>
          <w:sz w:val="28"/>
          <w:szCs w:val="28"/>
          <w14:textFill>
            <w14:solidFill>
              <w14:schemeClr w14:val="tx1"/>
            </w14:solidFill>
          </w14:textFill>
        </w:rPr>
        <w:t>2377</w:t>
      </w:r>
      <w:r>
        <w:rPr>
          <w:rFonts w:hint="eastAsia" w:ascii="Times New Roman" w:hAnsi="Times New Roman" w:eastAsia="仿宋_GB2312" w:cs="Times New Roman"/>
          <w:color w:val="000000" w:themeColor="text1"/>
          <w:sz w:val="28"/>
          <w:szCs w:val="28"/>
          <w14:textFill>
            <w14:solidFill>
              <w14:schemeClr w14:val="tx1"/>
            </w14:solidFill>
          </w14:textFill>
        </w:rPr>
        <w:t>人（如图2-2-2）。</w:t>
      </w:r>
    </w:p>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drawing>
          <wp:inline distT="0" distB="0" distL="0" distR="0">
            <wp:extent cx="5274310" cy="3076575"/>
            <wp:effectExtent l="0" t="0" r="254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0" w:lineRule="atLeast"/>
        <w:jc w:val="center"/>
        <w:rPr>
          <w:rFonts w:ascii="Times New Roman" w:hAnsi="Times New Roman"/>
          <w:color w:val="000000" w:themeColor="text1"/>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图2-2-1 2011-201</w:t>
      </w:r>
      <w:r>
        <w:rPr>
          <w:rFonts w:ascii="Times New Roman" w:hAnsi="Times New Roman" w:eastAsia="仿宋" w:cs="Times New Roman"/>
          <w:b/>
          <w:bCs/>
          <w:color w:val="000000" w:themeColor="text1"/>
          <w:sz w:val="24"/>
          <w:szCs w:val="24"/>
          <w14:textFill>
            <w14:solidFill>
              <w14:schemeClr w14:val="tx1"/>
            </w14:solidFill>
          </w14:textFill>
        </w:rPr>
        <w:t>7</w:t>
      </w:r>
      <w:r>
        <w:rPr>
          <w:rFonts w:hint="eastAsia" w:ascii="Times New Roman" w:hAnsi="Times New Roman" w:eastAsia="仿宋" w:cs="Times New Roman"/>
          <w:b/>
          <w:bCs/>
          <w:color w:val="000000" w:themeColor="text1"/>
          <w:sz w:val="24"/>
          <w:szCs w:val="24"/>
          <w14:textFill>
            <w14:solidFill>
              <w14:schemeClr w14:val="tx1"/>
            </w14:solidFill>
          </w14:textFill>
        </w:rPr>
        <w:t>年固定资产投资概况</w:t>
      </w:r>
      <w:r>
        <w:rPr>
          <w:rStyle w:val="20"/>
          <w:rFonts w:hint="eastAsia" w:ascii="Times New Roman" w:hAnsi="Times New Roman" w:eastAsia="仿宋" w:cs="Times New Roman"/>
          <w:b/>
          <w:bCs/>
          <w:color w:val="000000" w:themeColor="text1"/>
          <w:sz w:val="24"/>
          <w:szCs w:val="24"/>
          <w14:textFill>
            <w14:solidFill>
              <w14:schemeClr w14:val="tx1"/>
            </w14:solidFill>
          </w14:textFill>
        </w:rPr>
        <w:t>[</w:t>
      </w:r>
      <w:r>
        <w:rPr>
          <w:rStyle w:val="20"/>
          <w:rFonts w:hint="eastAsia" w:ascii="Times New Roman" w:hAnsi="Times New Roman" w:eastAsia="仿宋" w:cs="Times New Roman"/>
          <w:b/>
          <w:bCs/>
          <w:color w:val="000000" w:themeColor="text1"/>
          <w:sz w:val="24"/>
          <w:szCs w:val="24"/>
          <w14:textFill>
            <w14:solidFill>
              <w14:schemeClr w14:val="tx1"/>
            </w14:solidFill>
          </w14:textFill>
        </w:rPr>
        <w:footnoteReference w:id="3"/>
      </w:r>
      <w:r>
        <w:rPr>
          <w:rStyle w:val="20"/>
          <w:rFonts w:hint="eastAsia" w:ascii="Times New Roman" w:hAnsi="Times New Roman" w:eastAsia="仿宋" w:cs="Times New Roman"/>
          <w:b/>
          <w:bCs/>
          <w:color w:val="000000" w:themeColor="text1"/>
          <w:sz w:val="24"/>
          <w:szCs w:val="24"/>
          <w14:textFill>
            <w14:solidFill>
              <w14:schemeClr w14:val="tx1"/>
            </w14:solidFill>
          </w14:textFill>
        </w:rPr>
        <w:t>]</w:t>
      </w:r>
    </w:p>
    <w:p>
      <w:pPr>
        <w:spacing w:line="0" w:lineRule="atLeas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drawing>
          <wp:inline distT="0" distB="0" distL="0" distR="0">
            <wp:extent cx="5029200" cy="2409825"/>
            <wp:effectExtent l="0" t="0" r="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0" w:lineRule="atLeast"/>
        <w:jc w:val="center"/>
        <w:rPr>
          <w:rFonts w:ascii="Times New Roman" w:hAnsi="Times New Roman"/>
          <w:color w:val="000000" w:themeColor="text1"/>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图2-2-2 2011-201</w:t>
      </w:r>
      <w:r>
        <w:rPr>
          <w:rFonts w:ascii="Times New Roman" w:hAnsi="Times New Roman" w:eastAsia="仿宋" w:cs="Times New Roman"/>
          <w:b/>
          <w:bCs/>
          <w:color w:val="000000" w:themeColor="text1"/>
          <w:sz w:val="24"/>
          <w:szCs w:val="24"/>
          <w14:textFill>
            <w14:solidFill>
              <w14:schemeClr w14:val="tx1"/>
            </w14:solidFill>
          </w14:textFill>
        </w:rPr>
        <w:t>7</w:t>
      </w:r>
      <w:r>
        <w:rPr>
          <w:rFonts w:hint="eastAsia" w:ascii="Times New Roman" w:hAnsi="Times New Roman" w:eastAsia="仿宋" w:cs="Times New Roman"/>
          <w:b/>
          <w:bCs/>
          <w:color w:val="000000" w:themeColor="text1"/>
          <w:sz w:val="24"/>
          <w:szCs w:val="24"/>
          <w14:textFill>
            <w14:solidFill>
              <w14:schemeClr w14:val="tx1"/>
            </w14:solidFill>
          </w14:textFill>
        </w:rPr>
        <w:t>年建筑业及房地产业从业人数</w:t>
      </w:r>
      <w:r>
        <w:rPr>
          <w:rStyle w:val="20"/>
          <w:rFonts w:hint="eastAsia" w:ascii="Times New Roman" w:hAnsi="Times New Roman" w:eastAsia="仿宋" w:cs="Times New Roman"/>
          <w:b/>
          <w:bCs/>
          <w:color w:val="000000" w:themeColor="text1"/>
          <w:sz w:val="24"/>
          <w:szCs w:val="24"/>
          <w14:textFill>
            <w14:solidFill>
              <w14:schemeClr w14:val="tx1"/>
            </w14:solidFill>
          </w14:textFill>
        </w:rPr>
        <w:t>[</w:t>
      </w:r>
      <w:r>
        <w:rPr>
          <w:rStyle w:val="20"/>
          <w:rFonts w:hint="eastAsia" w:ascii="Times New Roman" w:hAnsi="Times New Roman" w:eastAsia="仿宋" w:cs="Times New Roman"/>
          <w:b/>
          <w:bCs/>
          <w:color w:val="000000" w:themeColor="text1"/>
          <w:sz w:val="24"/>
          <w:szCs w:val="24"/>
          <w14:textFill>
            <w14:solidFill>
              <w14:schemeClr w14:val="tx1"/>
            </w14:solidFill>
          </w14:textFill>
        </w:rPr>
        <w:footnoteReference w:id="4"/>
      </w:r>
      <w:r>
        <w:rPr>
          <w:rStyle w:val="20"/>
          <w:rFonts w:hint="eastAsia" w:ascii="Times New Roman" w:hAnsi="Times New Roman" w:eastAsia="仿宋" w:cs="Times New Roman"/>
          <w:b/>
          <w:bCs/>
          <w:color w:val="000000" w:themeColor="text1"/>
          <w:sz w:val="24"/>
          <w:szCs w:val="24"/>
          <w14:textFill>
            <w14:solidFill>
              <w14:schemeClr w14:val="tx1"/>
            </w14:solidFill>
          </w14:textFill>
        </w:rPr>
        <w:t>]</w:t>
      </w:r>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（二）房屋新开工建设概况</w:t>
      </w:r>
    </w:p>
    <w:p>
      <w:pPr>
        <w:ind w:firstLine="560" w:firstLineChars="200"/>
        <w:rPr>
          <w:rFonts w:hint="eastAsia"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2010年海南国际旅游岛建设上升为国家战略，为五指山市发展带来了难得的机遇。2011年五指山市房屋新开工面积大幅提升，达到51.02万平方米，2012年起五指山市房屋新开工面积恢复稳定，保持在30万平方米左右（如图2-2-3）。据统计，2009-2016年五指山市住宅新开工面积占房屋新开工总面积的比例保持在80%以上，建设项目类型以住宅为主（如图2-2-4）。</w:t>
      </w: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114300" distR="114300">
            <wp:extent cx="4572000" cy="2381885"/>
            <wp:effectExtent l="5080" t="4445" r="13970" b="13970"/>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jc w:val="center"/>
        <w:rPr>
          <w:rFonts w:ascii="Times New Roman" w:hAnsi="Times New Roman"/>
          <w:color w:val="000000" w:themeColor="text1"/>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图2-2-3 2009-2016年房屋新开工面积</w:t>
      </w:r>
      <w:r>
        <w:rPr>
          <w:rStyle w:val="20"/>
          <w:rFonts w:hint="eastAsia" w:ascii="Times New Roman" w:hAnsi="Times New Roman" w:eastAsia="仿宋" w:cs="Times New Roman"/>
          <w:b/>
          <w:bCs/>
          <w:color w:val="000000" w:themeColor="text1"/>
          <w:sz w:val="24"/>
          <w:szCs w:val="24"/>
          <w14:textFill>
            <w14:solidFill>
              <w14:schemeClr w14:val="tx1"/>
            </w14:solidFill>
          </w14:textFill>
        </w:rPr>
        <w:t>[</w:t>
      </w:r>
      <w:r>
        <w:rPr>
          <w:rStyle w:val="20"/>
          <w:rFonts w:hint="eastAsia" w:ascii="Times New Roman" w:hAnsi="Times New Roman" w:eastAsia="仿宋" w:cs="Times New Roman"/>
          <w:b/>
          <w:bCs/>
          <w:color w:val="000000" w:themeColor="text1"/>
          <w:sz w:val="24"/>
          <w:szCs w:val="24"/>
          <w14:textFill>
            <w14:solidFill>
              <w14:schemeClr w14:val="tx1"/>
            </w14:solidFill>
          </w14:textFill>
        </w:rPr>
        <w:footnoteReference w:id="5"/>
      </w:r>
      <w:r>
        <w:rPr>
          <w:rStyle w:val="20"/>
          <w:rFonts w:hint="eastAsia" w:ascii="Times New Roman" w:hAnsi="Times New Roman" w:eastAsia="仿宋" w:cs="Times New Roman"/>
          <w:b/>
          <w:bCs/>
          <w:color w:val="000000" w:themeColor="text1"/>
          <w:sz w:val="24"/>
          <w:szCs w:val="24"/>
          <w14:textFill>
            <w14:solidFill>
              <w14:schemeClr w14:val="tx1"/>
            </w14:solidFill>
          </w14:textFill>
        </w:rPr>
        <w:t>]</w:t>
      </w:r>
    </w:p>
    <w:p>
      <w:pPr>
        <w:spacing w:line="0" w:lineRule="atLeast"/>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114300" distR="114300">
            <wp:extent cx="2029460" cy="2162175"/>
            <wp:effectExtent l="5080" t="5080" r="22860" b="4445"/>
            <wp:docPr id="16"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color w:val="000000" w:themeColor="text1"/>
          <w14:textFill>
            <w14:solidFill>
              <w14:schemeClr w14:val="tx1"/>
            </w14:solidFill>
          </w14:textFill>
        </w:rPr>
        <w:drawing>
          <wp:inline distT="0" distB="0" distL="114300" distR="114300">
            <wp:extent cx="2028190" cy="2172970"/>
            <wp:effectExtent l="4445" t="4445" r="5715" b="13335"/>
            <wp:docPr id="17"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pacing w:line="0" w:lineRule="atLeast"/>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114300" distR="114300">
            <wp:extent cx="2010410" cy="2180590"/>
            <wp:effectExtent l="4445" t="5080" r="23495" b="5080"/>
            <wp:docPr id="18"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hAnsi="Times New Roman"/>
          <w:color w:val="000000" w:themeColor="text1"/>
          <w14:textFill>
            <w14:solidFill>
              <w14:schemeClr w14:val="tx1"/>
            </w14:solidFill>
          </w14:textFill>
        </w:rPr>
        <w:drawing>
          <wp:inline distT="0" distB="0" distL="114300" distR="114300">
            <wp:extent cx="2019935" cy="2171700"/>
            <wp:effectExtent l="4445" t="4445" r="13970" b="14605"/>
            <wp:docPr id="19"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color w:val="000000" w:themeColor="text1"/>
          <w14:textFill>
            <w14:solidFill>
              <w14:schemeClr w14:val="tx1"/>
            </w14:solidFill>
          </w14:textFill>
        </w:rPr>
        <w:drawing>
          <wp:inline distT="0" distB="0" distL="114300" distR="114300">
            <wp:extent cx="2018665" cy="2180590"/>
            <wp:effectExtent l="4445" t="4445" r="15240" b="5715"/>
            <wp:docPr id="20"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color w:val="000000" w:themeColor="text1"/>
          <w14:textFill>
            <w14:solidFill>
              <w14:schemeClr w14:val="tx1"/>
            </w14:solidFill>
          </w14:textFill>
        </w:rPr>
        <w:drawing>
          <wp:inline distT="0" distB="0" distL="114300" distR="114300">
            <wp:extent cx="2010410" cy="2180590"/>
            <wp:effectExtent l="4445" t="5080" r="23495" b="5080"/>
            <wp:docPr id="21"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line="0" w:lineRule="atLeast"/>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114300" distR="114300">
            <wp:extent cx="2020570" cy="2180590"/>
            <wp:effectExtent l="4445" t="4445" r="13335" b="5715"/>
            <wp:docPr id="22"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hAnsi="Times New Roman"/>
          <w:color w:val="000000" w:themeColor="text1"/>
          <w14:textFill>
            <w14:solidFill>
              <w14:schemeClr w14:val="tx1"/>
            </w14:solidFill>
          </w14:textFill>
        </w:rPr>
        <w:drawing>
          <wp:inline distT="0" distB="0" distL="114300" distR="114300">
            <wp:extent cx="2029460" cy="2180590"/>
            <wp:effectExtent l="0" t="0" r="8890" b="10160"/>
            <wp:docPr id="23"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jc w:val="center"/>
        <w:rPr>
          <w:rFonts w:ascii="Times New Roman" w:hAnsi="Times New Roman"/>
          <w:color w:val="000000" w:themeColor="text1"/>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图2-2-4 2009-2016年房屋新开工面积比例</w:t>
      </w:r>
      <w:r>
        <w:rPr>
          <w:rStyle w:val="20"/>
          <w:rFonts w:hint="eastAsia" w:ascii="Times New Roman" w:hAnsi="Times New Roman" w:eastAsia="仿宋" w:cs="Times New Roman"/>
          <w:b/>
          <w:bCs/>
          <w:color w:val="000000" w:themeColor="text1"/>
          <w:sz w:val="24"/>
          <w:szCs w:val="24"/>
          <w14:textFill>
            <w14:solidFill>
              <w14:schemeClr w14:val="tx1"/>
            </w14:solidFill>
          </w14:textFill>
        </w:rPr>
        <w:t>[</w:t>
      </w:r>
      <w:r>
        <w:rPr>
          <w:rStyle w:val="20"/>
          <w:rFonts w:hint="eastAsia" w:ascii="Times New Roman" w:hAnsi="Times New Roman" w:eastAsia="仿宋" w:cs="Times New Roman"/>
          <w:b/>
          <w:bCs/>
          <w:color w:val="000000" w:themeColor="text1"/>
          <w:sz w:val="24"/>
          <w:szCs w:val="24"/>
          <w14:textFill>
            <w14:solidFill>
              <w14:schemeClr w14:val="tx1"/>
            </w14:solidFill>
          </w14:textFill>
        </w:rPr>
        <w:footnoteReference w:id="6"/>
      </w:r>
      <w:r>
        <w:rPr>
          <w:rStyle w:val="20"/>
          <w:rFonts w:hint="eastAsia" w:ascii="Times New Roman" w:hAnsi="Times New Roman" w:eastAsia="仿宋" w:cs="Times New Roman"/>
          <w:b/>
          <w:bCs/>
          <w:color w:val="000000" w:themeColor="text1"/>
          <w:sz w:val="24"/>
          <w:szCs w:val="24"/>
          <w14:textFill>
            <w14:solidFill>
              <w14:schemeClr w14:val="tx1"/>
            </w14:solidFill>
          </w14:textFill>
        </w:rPr>
        <w:t>]</w:t>
      </w:r>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（三）装配式建筑发展情况</w:t>
      </w:r>
    </w:p>
    <w:p>
      <w:pPr>
        <w:spacing w:line="360" w:lineRule="auto"/>
        <w:ind w:firstLine="560" w:firstLineChars="200"/>
        <w:rPr>
          <w:rFonts w:ascii="Times New Roman" w:hAnsi="Times New Roman"/>
          <w:color w:val="000000" w:themeColor="text1"/>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五指山市目前无已建或在建的</w:t>
      </w:r>
      <w:r>
        <w:rPr>
          <w:rFonts w:ascii="Times New Roman" w:hAnsi="Times New Roman" w:eastAsia="仿宋_GB2312" w:cs="Times New Roman"/>
          <w:color w:val="000000" w:themeColor="text1"/>
          <w:sz w:val="28"/>
          <w:szCs w:val="28"/>
          <w14:textFill>
            <w14:solidFill>
              <w14:schemeClr w14:val="tx1"/>
            </w14:solidFill>
          </w14:textFill>
        </w:rPr>
        <w:t>装配式</w:t>
      </w:r>
      <w:r>
        <w:rPr>
          <w:rFonts w:hint="eastAsia" w:ascii="Times New Roman" w:hAnsi="Times New Roman" w:eastAsia="仿宋_GB2312" w:cs="Times New Roman"/>
          <w:color w:val="000000" w:themeColor="text1"/>
          <w:sz w:val="28"/>
          <w:szCs w:val="28"/>
          <w14:textFill>
            <w14:solidFill>
              <w14:schemeClr w14:val="tx1"/>
            </w14:solidFill>
          </w14:textFill>
        </w:rPr>
        <w:t>建筑建设</w:t>
      </w:r>
      <w:r>
        <w:rPr>
          <w:rFonts w:ascii="Times New Roman" w:hAnsi="Times New Roman" w:eastAsia="仿宋_GB2312" w:cs="Times New Roman"/>
          <w:color w:val="000000" w:themeColor="text1"/>
          <w:sz w:val="28"/>
          <w:szCs w:val="28"/>
          <w14:textFill>
            <w14:solidFill>
              <w14:schemeClr w14:val="tx1"/>
            </w14:solidFill>
          </w14:textFill>
        </w:rPr>
        <w:t>项目，</w:t>
      </w:r>
      <w:r>
        <w:rPr>
          <w:rFonts w:hint="eastAsia" w:ascii="Times New Roman" w:hAnsi="Times New Roman" w:eastAsia="仿宋_GB2312" w:cs="Times New Roman"/>
          <w:color w:val="000000" w:themeColor="text1"/>
          <w:sz w:val="28"/>
          <w:szCs w:val="28"/>
          <w14:textFill>
            <w14:solidFill>
              <w14:schemeClr w14:val="tx1"/>
            </w14:solidFill>
          </w14:textFill>
        </w:rPr>
        <w:t>五指山市</w:t>
      </w:r>
      <w:r>
        <w:rPr>
          <w:rFonts w:ascii="Times New Roman" w:hAnsi="Times New Roman" w:eastAsia="仿宋_GB2312" w:cs="Times New Roman"/>
          <w:color w:val="000000" w:themeColor="text1"/>
          <w:sz w:val="28"/>
          <w:szCs w:val="28"/>
          <w14:textFill>
            <w14:solidFill>
              <w14:schemeClr w14:val="tx1"/>
            </w14:solidFill>
          </w14:textFill>
        </w:rPr>
        <w:t>行政区域及周边</w:t>
      </w:r>
      <w:r>
        <w:rPr>
          <w:rFonts w:hint="eastAsia" w:ascii="Times New Roman" w:hAnsi="Times New Roman" w:eastAsia="仿宋_GB2312" w:cs="Times New Roman"/>
          <w:color w:val="000000" w:themeColor="text1"/>
          <w:sz w:val="28"/>
          <w:szCs w:val="28"/>
          <w14:textFill>
            <w14:solidFill>
              <w14:schemeClr w14:val="tx1"/>
            </w14:solidFill>
          </w14:textFill>
        </w:rPr>
        <w:t>相邻市县</w:t>
      </w:r>
      <w:r>
        <w:rPr>
          <w:rFonts w:ascii="Times New Roman" w:hAnsi="Times New Roman" w:eastAsia="仿宋_GB2312" w:cs="Times New Roman"/>
          <w:color w:val="000000" w:themeColor="text1"/>
          <w:sz w:val="28"/>
          <w:szCs w:val="28"/>
          <w14:textFill>
            <w14:solidFill>
              <w14:schemeClr w14:val="tx1"/>
            </w14:solidFill>
          </w14:textFill>
        </w:rPr>
        <w:t>区域没有装配式建筑综合性产业基地</w:t>
      </w:r>
      <w:r>
        <w:rPr>
          <w:rFonts w:hint="eastAsia" w:ascii="Times New Roman" w:hAnsi="Times New Roman" w:eastAsia="仿宋_GB2312" w:cs="Times New Roman"/>
          <w:color w:val="000000" w:themeColor="text1"/>
          <w:sz w:val="28"/>
          <w:szCs w:val="28"/>
          <w14:textFill>
            <w14:solidFill>
              <w14:schemeClr w14:val="tx1"/>
            </w14:solidFill>
          </w14:textFill>
        </w:rPr>
        <w:t>或</w:t>
      </w:r>
      <w:r>
        <w:rPr>
          <w:rFonts w:ascii="Times New Roman" w:hAnsi="Times New Roman" w:eastAsia="仿宋_GB2312" w:cs="Times New Roman"/>
          <w:color w:val="000000" w:themeColor="text1"/>
          <w:sz w:val="28"/>
          <w:szCs w:val="28"/>
          <w14:textFill>
            <w14:solidFill>
              <w14:schemeClr w14:val="tx1"/>
            </w14:solidFill>
          </w14:textFill>
        </w:rPr>
        <w:t>混凝土装配式构件部品生产</w:t>
      </w:r>
      <w:r>
        <w:rPr>
          <w:rFonts w:hint="eastAsia" w:ascii="Times New Roman" w:hAnsi="Times New Roman" w:eastAsia="仿宋_GB2312" w:cs="Times New Roman"/>
          <w:color w:val="000000" w:themeColor="text1"/>
          <w:sz w:val="28"/>
          <w:szCs w:val="28"/>
          <w14:textFill>
            <w14:solidFill>
              <w14:schemeClr w14:val="tx1"/>
            </w14:solidFill>
          </w14:textFill>
        </w:rPr>
        <w:t>企业，</w:t>
      </w:r>
      <w:r>
        <w:rPr>
          <w:rFonts w:ascii="Times New Roman" w:hAnsi="Times New Roman" w:eastAsia="仿宋_GB2312" w:cs="Times New Roman"/>
          <w:color w:val="000000" w:themeColor="text1"/>
          <w:sz w:val="28"/>
          <w:szCs w:val="28"/>
          <w14:textFill>
            <w14:solidFill>
              <w14:schemeClr w14:val="tx1"/>
            </w14:solidFill>
          </w14:textFill>
        </w:rPr>
        <w:t>装配式建筑</w:t>
      </w:r>
      <w:r>
        <w:rPr>
          <w:rFonts w:hint="eastAsia" w:ascii="Times New Roman" w:hAnsi="Times New Roman" w:eastAsia="仿宋_GB2312" w:cs="Times New Roman"/>
          <w:color w:val="000000" w:themeColor="text1"/>
          <w:sz w:val="28"/>
          <w:szCs w:val="28"/>
          <w14:textFill>
            <w14:solidFill>
              <w14:schemeClr w14:val="tx1"/>
            </w14:solidFill>
          </w14:textFill>
        </w:rPr>
        <w:t>发展目前</w:t>
      </w:r>
      <w:r>
        <w:rPr>
          <w:rFonts w:ascii="Times New Roman" w:hAnsi="Times New Roman" w:eastAsia="仿宋_GB2312" w:cs="Times New Roman"/>
          <w:color w:val="000000" w:themeColor="text1"/>
          <w:sz w:val="28"/>
          <w:szCs w:val="28"/>
          <w14:textFill>
            <w14:solidFill>
              <w14:schemeClr w14:val="tx1"/>
            </w14:solidFill>
          </w14:textFill>
        </w:rPr>
        <w:t>处于</w:t>
      </w:r>
      <w:r>
        <w:rPr>
          <w:rFonts w:hint="eastAsia" w:ascii="Times New Roman" w:hAnsi="Times New Roman" w:eastAsia="仿宋_GB2312" w:cs="Times New Roman"/>
          <w:color w:val="000000" w:themeColor="text1"/>
          <w:sz w:val="28"/>
          <w:szCs w:val="28"/>
          <w14:textFill>
            <w14:solidFill>
              <w14:schemeClr w14:val="tx1"/>
            </w14:solidFill>
          </w14:textFill>
        </w:rPr>
        <w:t>初期探索阶段，装配式建筑发展基础薄弱</w:t>
      </w:r>
      <w:r>
        <w:rPr>
          <w:rFonts w:ascii="Times New Roman" w:hAnsi="Times New Roman" w:eastAsia="仿宋_GB2312" w:cs="Times New Roman"/>
          <w:color w:val="000000" w:themeColor="text1"/>
          <w:sz w:val="28"/>
          <w:szCs w:val="28"/>
          <w14:textFill>
            <w14:solidFill>
              <w14:schemeClr w14:val="tx1"/>
            </w14:solidFill>
          </w14:textFill>
        </w:rPr>
        <w:t>。</w:t>
      </w:r>
    </w:p>
    <w:p>
      <w:pPr>
        <w:pStyle w:val="3"/>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42" w:name="_Toc10047"/>
      <w:bookmarkStart w:id="43" w:name="_Toc25098"/>
      <w:bookmarkStart w:id="44" w:name="_Toc529282337"/>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三、存在问题</w:t>
      </w:r>
      <w:bookmarkEnd w:id="42"/>
      <w:bookmarkEnd w:id="43"/>
      <w:bookmarkEnd w:id="44"/>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（一）工作机制有待健全</w:t>
      </w:r>
    </w:p>
    <w:p>
      <w:pPr>
        <w:spacing w:line="360" w:lineRule="auto"/>
        <w:ind w:firstLine="560" w:firstLineChars="20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五指山市已初步建立推进装配式建筑发展的政策和责任分工方案，但推进装配式建筑工作的相关保障措施尚未完善</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olor w:val="000000" w:themeColor="text1"/>
          <w:sz w:val="28"/>
          <w:szCs w:val="28"/>
          <w14:textFill>
            <w14:solidFill>
              <w14:schemeClr w14:val="tx1"/>
            </w14:solidFill>
          </w14:textFill>
        </w:rPr>
        <w:t>在项目立项、规划设计、招标投标、施工许可、质量监管、竣工验收</w:t>
      </w:r>
      <w:r>
        <w:rPr>
          <w:rFonts w:hint="eastAsia" w:ascii="Times New Roman" w:hAnsi="Times New Roman" w:eastAsia="仿宋_GB2312" w:cs="Times New Roman"/>
          <w:color w:val="000000" w:themeColor="text1"/>
          <w:sz w:val="28"/>
          <w:szCs w:val="28"/>
          <w14:textFill>
            <w14:solidFill>
              <w14:schemeClr w14:val="tx1"/>
            </w14:solidFill>
          </w14:textFill>
        </w:rPr>
        <w:t>等环节的建设管理制度与发展装配式建筑不适应，不利于装配式建筑的推广。</w:t>
      </w:r>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（二）交通运输条件不完善</w:t>
      </w:r>
    </w:p>
    <w:p>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五指山市位于海南岛中部山区，连接岛内其他市县的交通设施以及五指山市域市政基础设施还有待完善。目前虽然琼乐高速通车，但是北上海口、南下三亚需要的时间仍然较长，不利于装配式建筑构件的运输，交通运输条件成为影响五指山市装配式建筑发展的重要因素之一。</w:t>
      </w:r>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bookmarkStart w:id="45" w:name="_Toc495235505"/>
      <w:bookmarkEnd w:id="45"/>
      <w:bookmarkStart w:id="46" w:name="_Toc495413439"/>
      <w:bookmarkEnd w:id="46"/>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（三）生产基地建设条件受限</w:t>
      </w:r>
    </w:p>
    <w:p>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五指山市位于海南岛中南部腹地，根据两个暂停政策，五指山以生态立市，以</w:t>
      </w:r>
      <w:r>
        <w:rPr>
          <w:rFonts w:hint="eastAsia" w:ascii="Times New Roman" w:hAnsi="Times New Roman" w:eastAsia="仿宋_GB2312"/>
          <w:color w:val="000000" w:themeColor="text1"/>
          <w:sz w:val="28"/>
          <w:szCs w:val="28"/>
          <w14:textFill>
            <w14:solidFill>
              <w14:schemeClr w14:val="tx1"/>
            </w14:solidFill>
          </w14:textFill>
        </w:rPr>
        <w:t>建设国家重点生态功能区和热带雨林养生度假旅游城市</w:t>
      </w:r>
      <w:r>
        <w:rPr>
          <w:rFonts w:hint="eastAsia" w:ascii="Times New Roman" w:hAnsi="Times New Roman" w:eastAsia="仿宋_GB2312" w:cs="Times New Roman"/>
          <w:color w:val="000000" w:themeColor="text1"/>
          <w:sz w:val="28"/>
          <w:szCs w:val="28"/>
          <w14:textFill>
            <w14:solidFill>
              <w14:schemeClr w14:val="tx1"/>
            </w14:solidFill>
          </w14:textFill>
        </w:rPr>
        <w:t xml:space="preserve">为发展核心，永久停止开发新建外销房地产项目；由于城市发展定位要求及规划发展要求，五指山市不适宜建设装配式生产基地，装配式建筑部品部件等需全部从周边城市引进。 </w:t>
      </w:r>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（四）人才队伍专业能力有待提高</w:t>
      </w:r>
    </w:p>
    <w:p>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在五指山市建筑相关企业和专业技术人员中，从事过装配式建筑设计、施工、生产、管理的单位和人员非常稀少，各层次专业人才队伍缺乏；同时装配式建筑人才培育机制尚未健全，专业培训力度不足，已成为制约装配式建筑发展的瓶颈。</w:t>
      </w:r>
    </w:p>
    <w:p>
      <w:pPr>
        <w:widowControl/>
        <w:jc w:val="left"/>
        <w:rPr>
          <w:rFonts w:ascii="Times New Roman" w:hAnsi="Times New Roman" w:eastAsia="黑体" w:cs="黑体"/>
          <w:b/>
          <w:color w:val="000000" w:themeColor="text1"/>
          <w:kern w:val="44"/>
          <w:sz w:val="32"/>
          <w:szCs w:val="32"/>
          <w14:textFill>
            <w14:solidFill>
              <w14:schemeClr w14:val="tx1"/>
            </w14:solidFill>
          </w14:textFill>
        </w:rPr>
      </w:pPr>
      <w:bookmarkStart w:id="47" w:name="_Toc22023"/>
      <w:r>
        <w:rPr>
          <w:rFonts w:ascii="Times New Roman" w:hAnsi="Times New Roman" w:eastAsia="黑体" w:cs="黑体"/>
          <w:color w:val="000000" w:themeColor="text1"/>
          <w:sz w:val="32"/>
          <w:szCs w:val="32"/>
          <w14:textFill>
            <w14:solidFill>
              <w14:schemeClr w14:val="tx1"/>
            </w14:solidFill>
          </w14:textFill>
        </w:rPr>
        <w:br w:type="page"/>
      </w:r>
    </w:p>
    <w:p>
      <w:pPr>
        <w:pStyle w:val="2"/>
        <w:jc w:val="center"/>
        <w:rPr>
          <w:rFonts w:ascii="Times New Roman" w:hAnsi="Times New Roman" w:eastAsia="黑体" w:cs="黑体"/>
          <w:color w:val="000000" w:themeColor="text1"/>
          <w:sz w:val="32"/>
          <w:szCs w:val="32"/>
          <w14:textFill>
            <w14:solidFill>
              <w14:schemeClr w14:val="tx1"/>
            </w14:solidFill>
          </w14:textFill>
        </w:rPr>
      </w:pPr>
      <w:bookmarkStart w:id="48" w:name="_Toc14633"/>
      <w:bookmarkStart w:id="49" w:name="_Toc529282338"/>
      <w:r>
        <w:rPr>
          <w:rFonts w:hint="eastAsia" w:ascii="Times New Roman" w:hAnsi="Times New Roman" w:eastAsia="黑体" w:cs="黑体"/>
          <w:color w:val="000000" w:themeColor="text1"/>
          <w:sz w:val="32"/>
          <w:szCs w:val="32"/>
          <w14:textFill>
            <w14:solidFill>
              <w14:schemeClr w14:val="tx1"/>
            </w14:solidFill>
          </w14:textFill>
        </w:rPr>
        <w:t>第三章 发展定位和目标</w:t>
      </w:r>
      <w:bookmarkEnd w:id="47"/>
      <w:bookmarkEnd w:id="48"/>
      <w:bookmarkEnd w:id="49"/>
    </w:p>
    <w:p>
      <w:pPr>
        <w:pStyle w:val="3"/>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50" w:name="_Toc529282339"/>
      <w:bookmarkStart w:id="51" w:name="_Toc25764"/>
      <w:bookmarkStart w:id="52" w:name="_Toc18345"/>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一、发展定位</w:t>
      </w:r>
      <w:bookmarkEnd w:id="50"/>
      <w:bookmarkEnd w:id="51"/>
      <w:bookmarkEnd w:id="52"/>
    </w:p>
    <w:p>
      <w:pPr>
        <w:spacing w:line="360" w:lineRule="auto"/>
        <w:ind w:firstLine="560" w:firstLineChars="200"/>
        <w:jc w:val="left"/>
        <w:rPr>
          <w:rFonts w:ascii="Times New Roman" w:hAnsi="Times New Roman" w:eastAsia="仿宋_GB2312" w:cs="Times New Roman"/>
          <w:color w:val="000000" w:themeColor="text1"/>
          <w:sz w:val="28"/>
          <w:szCs w:val="24"/>
          <w14:textFill>
            <w14:solidFill>
              <w14:schemeClr w14:val="tx1"/>
            </w14:solidFill>
          </w14:textFill>
        </w:rPr>
      </w:pPr>
      <w:r>
        <w:rPr>
          <w:rFonts w:hint="eastAsia" w:ascii="Times New Roman" w:hAnsi="Times New Roman" w:eastAsia="仿宋_GB2312" w:cs="Times New Roman"/>
          <w:color w:val="000000" w:themeColor="text1"/>
          <w:sz w:val="28"/>
          <w:szCs w:val="24"/>
          <w14:textFill>
            <w14:solidFill>
              <w14:schemeClr w14:val="tx1"/>
            </w14:solidFill>
          </w14:textFill>
        </w:rPr>
        <w:t>五指山市围绕打造“国家级生态园林城市、热带雨林养生度假旅游城市”等目标，依托生态旅游与美丽乡村建设，充分考虑五指山热带山地环境特点和生态保护核心战略，发展适宜的装配式建筑，以建筑工程建设方式的转型升级，助力国家生态文明建设示范区的全面建成。</w:t>
      </w:r>
    </w:p>
    <w:p>
      <w:pPr>
        <w:pStyle w:val="3"/>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53" w:name="_Toc2747"/>
      <w:bookmarkStart w:id="54" w:name="_Toc529282340"/>
      <w:bookmarkStart w:id="55" w:name="_Toc30305"/>
      <w:bookmarkStart w:id="56" w:name="_Toc29379"/>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二、总体发展目标</w:t>
      </w:r>
      <w:bookmarkEnd w:id="53"/>
      <w:bookmarkEnd w:id="54"/>
      <w:bookmarkEnd w:id="55"/>
      <w:bookmarkEnd w:id="56"/>
    </w:p>
    <w:p>
      <w:pPr>
        <w:spacing w:line="360" w:lineRule="auto"/>
        <w:jc w:val="center"/>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表</w:t>
      </w:r>
      <w:r>
        <w:rPr>
          <w:rFonts w:ascii="Times New Roman" w:hAnsi="Times New Roman" w:eastAsia="仿宋_GB2312"/>
          <w:b/>
          <w:color w:val="000000" w:themeColor="text1"/>
          <w:sz w:val="24"/>
          <w14:textFill>
            <w14:solidFill>
              <w14:schemeClr w14:val="tx1"/>
            </w14:solidFill>
          </w14:textFill>
        </w:rPr>
        <w:t xml:space="preserve">3-2-1 </w:t>
      </w:r>
      <w:r>
        <w:rPr>
          <w:rFonts w:hint="eastAsia" w:ascii="Times New Roman" w:hAnsi="Times New Roman" w:eastAsia="仿宋_GB2312"/>
          <w:b/>
          <w:color w:val="000000" w:themeColor="text1"/>
          <w:sz w:val="24"/>
          <w14:textFill>
            <w14:solidFill>
              <w14:schemeClr w14:val="tx1"/>
            </w14:solidFill>
          </w14:textFill>
        </w:rPr>
        <w:t>五指山市</w:t>
      </w:r>
      <w:r>
        <w:rPr>
          <w:rFonts w:ascii="Times New Roman" w:hAnsi="Times New Roman" w:eastAsia="仿宋_GB2312"/>
          <w:b/>
          <w:color w:val="000000" w:themeColor="text1"/>
          <w:sz w:val="24"/>
          <w14:textFill>
            <w14:solidFill>
              <w14:schemeClr w14:val="tx1"/>
            </w14:solidFill>
          </w14:textFill>
        </w:rPr>
        <w:t>2018-2022</w:t>
      </w:r>
      <w:r>
        <w:rPr>
          <w:rFonts w:hint="eastAsia" w:ascii="Times New Roman" w:hAnsi="Times New Roman" w:eastAsia="仿宋_GB2312"/>
          <w:b/>
          <w:color w:val="000000" w:themeColor="text1"/>
          <w:sz w:val="24"/>
          <w14:textFill>
            <w14:solidFill>
              <w14:schemeClr w14:val="tx1"/>
            </w14:solidFill>
          </w14:textFill>
        </w:rPr>
        <w:t>年装配式建筑规划主要指标一览表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2258"/>
        <w:gridCol w:w="841"/>
        <w:gridCol w:w="709"/>
        <w:gridCol w:w="850"/>
        <w:gridCol w:w="851"/>
        <w:gridCol w:w="850"/>
        <w:gridCol w:w="851"/>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spacing w:line="360" w:lineRule="auto"/>
              <w:jc w:val="center"/>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序号</w:t>
            </w:r>
          </w:p>
        </w:tc>
        <w:tc>
          <w:tcPr>
            <w:tcW w:w="2258" w:type="dxa"/>
            <w:shd w:val="clear" w:color="auto" w:fill="auto"/>
            <w:vAlign w:val="center"/>
          </w:tcPr>
          <w:p>
            <w:pPr>
              <w:spacing w:line="360" w:lineRule="auto"/>
              <w:jc w:val="center"/>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指标</w:t>
            </w:r>
          </w:p>
        </w:tc>
        <w:tc>
          <w:tcPr>
            <w:tcW w:w="841" w:type="dxa"/>
            <w:shd w:val="clear" w:color="auto" w:fill="auto"/>
            <w:vAlign w:val="center"/>
          </w:tcPr>
          <w:p>
            <w:pPr>
              <w:spacing w:line="360" w:lineRule="auto"/>
              <w:jc w:val="center"/>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单位</w:t>
            </w:r>
          </w:p>
        </w:tc>
        <w:tc>
          <w:tcPr>
            <w:tcW w:w="709" w:type="dxa"/>
            <w:vAlign w:val="center"/>
          </w:tcPr>
          <w:p>
            <w:pPr>
              <w:spacing w:line="360" w:lineRule="auto"/>
              <w:jc w:val="center"/>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2018年</w:t>
            </w:r>
          </w:p>
        </w:tc>
        <w:tc>
          <w:tcPr>
            <w:tcW w:w="850" w:type="dxa"/>
            <w:vAlign w:val="center"/>
          </w:tcPr>
          <w:p>
            <w:pPr>
              <w:spacing w:line="360" w:lineRule="auto"/>
              <w:jc w:val="center"/>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2019年</w:t>
            </w:r>
          </w:p>
        </w:tc>
        <w:tc>
          <w:tcPr>
            <w:tcW w:w="851" w:type="dxa"/>
            <w:shd w:val="clear" w:color="auto" w:fill="auto"/>
            <w:vAlign w:val="center"/>
          </w:tcPr>
          <w:p>
            <w:pPr>
              <w:spacing w:line="360" w:lineRule="auto"/>
              <w:jc w:val="center"/>
              <w:rPr>
                <w:rFonts w:ascii="Times New Roman" w:hAnsi="Times New Roman" w:eastAsia="仿宋_GB2312"/>
                <w:b/>
                <w:color w:val="000000" w:themeColor="text1"/>
                <w:sz w:val="24"/>
                <w14:textFill>
                  <w14:solidFill>
                    <w14:schemeClr w14:val="tx1"/>
                  </w14:solidFill>
                </w14:textFill>
              </w:rPr>
            </w:pPr>
            <w:r>
              <w:rPr>
                <w:rFonts w:ascii="Times New Roman" w:hAnsi="Times New Roman" w:eastAsia="仿宋_GB2312"/>
                <w:b/>
                <w:color w:val="000000" w:themeColor="text1"/>
                <w:sz w:val="24"/>
                <w14:textFill>
                  <w14:solidFill>
                    <w14:schemeClr w14:val="tx1"/>
                  </w14:solidFill>
                </w14:textFill>
              </w:rPr>
              <w:t>2020</w:t>
            </w:r>
            <w:r>
              <w:rPr>
                <w:rFonts w:hint="eastAsia" w:ascii="Times New Roman" w:hAnsi="Times New Roman" w:eastAsia="仿宋_GB2312"/>
                <w:b/>
                <w:color w:val="000000" w:themeColor="text1"/>
                <w:sz w:val="24"/>
                <w14:textFill>
                  <w14:solidFill>
                    <w14:schemeClr w14:val="tx1"/>
                  </w14:solidFill>
                </w14:textFill>
              </w:rPr>
              <w:t>年</w:t>
            </w:r>
          </w:p>
        </w:tc>
        <w:tc>
          <w:tcPr>
            <w:tcW w:w="850" w:type="dxa"/>
            <w:vAlign w:val="center"/>
          </w:tcPr>
          <w:p>
            <w:pPr>
              <w:spacing w:line="360" w:lineRule="auto"/>
              <w:jc w:val="center"/>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2021年</w:t>
            </w:r>
          </w:p>
        </w:tc>
        <w:tc>
          <w:tcPr>
            <w:tcW w:w="851" w:type="dxa"/>
            <w:shd w:val="clear" w:color="auto" w:fill="auto"/>
            <w:vAlign w:val="center"/>
          </w:tcPr>
          <w:p>
            <w:pPr>
              <w:spacing w:line="360" w:lineRule="auto"/>
              <w:jc w:val="center"/>
              <w:rPr>
                <w:rFonts w:ascii="Times New Roman" w:hAnsi="Times New Roman" w:eastAsia="仿宋_GB2312"/>
                <w:b/>
                <w:color w:val="000000" w:themeColor="text1"/>
                <w:sz w:val="24"/>
                <w14:textFill>
                  <w14:solidFill>
                    <w14:schemeClr w14:val="tx1"/>
                  </w14:solidFill>
                </w14:textFill>
              </w:rPr>
            </w:pPr>
            <w:r>
              <w:rPr>
                <w:rFonts w:ascii="Times New Roman" w:hAnsi="Times New Roman" w:eastAsia="仿宋_GB2312"/>
                <w:b/>
                <w:color w:val="000000" w:themeColor="text1"/>
                <w:sz w:val="24"/>
                <w14:textFill>
                  <w14:solidFill>
                    <w14:schemeClr w14:val="tx1"/>
                  </w14:solidFill>
                </w14:textFill>
              </w:rPr>
              <w:t>2022</w:t>
            </w:r>
            <w:r>
              <w:rPr>
                <w:rFonts w:hint="eastAsia" w:ascii="Times New Roman" w:hAnsi="Times New Roman" w:eastAsia="仿宋_GB2312"/>
                <w:b/>
                <w:color w:val="000000" w:themeColor="text1"/>
                <w:sz w:val="24"/>
                <w14:textFill>
                  <w14:solidFill>
                    <w14:schemeClr w14:val="tx1"/>
                  </w14:solidFill>
                </w14:textFill>
              </w:rPr>
              <w:t>年</w:t>
            </w:r>
          </w:p>
        </w:tc>
        <w:tc>
          <w:tcPr>
            <w:tcW w:w="759" w:type="dxa"/>
            <w:shd w:val="clear" w:color="auto" w:fill="auto"/>
            <w:vAlign w:val="center"/>
          </w:tcPr>
          <w:p>
            <w:pPr>
              <w:spacing w:line="360" w:lineRule="auto"/>
              <w:jc w:val="center"/>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指标</w:t>
            </w:r>
          </w:p>
          <w:p>
            <w:pPr>
              <w:spacing w:line="360" w:lineRule="auto"/>
              <w:jc w:val="center"/>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1</w:t>
            </w:r>
          </w:p>
        </w:tc>
        <w:tc>
          <w:tcPr>
            <w:tcW w:w="2258"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累计装配式建筑总面积</w:t>
            </w:r>
            <w:r>
              <w:rPr>
                <w:rStyle w:val="20"/>
                <w:rFonts w:ascii="Times New Roman" w:hAnsi="Times New Roman" w:eastAsia="仿宋_GB2312"/>
                <w:color w:val="000000" w:themeColor="text1"/>
                <w:sz w:val="24"/>
                <w14:textFill>
                  <w14:solidFill>
                    <w14:schemeClr w14:val="tx1"/>
                  </w14:solidFill>
                </w14:textFill>
              </w:rPr>
              <w:t>[</w:t>
            </w:r>
            <w:r>
              <w:rPr>
                <w:rStyle w:val="20"/>
                <w:rFonts w:ascii="Times New Roman" w:hAnsi="Times New Roman" w:eastAsia="仿宋_GB2312"/>
                <w:color w:val="000000" w:themeColor="text1"/>
                <w:sz w:val="24"/>
                <w14:textFill>
                  <w14:solidFill>
                    <w14:schemeClr w14:val="tx1"/>
                  </w14:solidFill>
                </w14:textFill>
              </w:rPr>
              <w:footnoteReference w:id="7"/>
            </w:r>
            <w:r>
              <w:rPr>
                <w:rStyle w:val="20"/>
                <w:rFonts w:ascii="Times New Roman" w:hAnsi="Times New Roman" w:eastAsia="仿宋_GB2312"/>
                <w:color w:val="000000" w:themeColor="text1"/>
                <w:sz w:val="24"/>
                <w14:textFill>
                  <w14:solidFill>
                    <w14:schemeClr w14:val="tx1"/>
                  </w14:solidFill>
                </w14:textFill>
              </w:rPr>
              <w:t>]</w:t>
            </w:r>
          </w:p>
        </w:tc>
        <w:tc>
          <w:tcPr>
            <w:tcW w:w="84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万平方米</w:t>
            </w:r>
          </w:p>
        </w:tc>
        <w:tc>
          <w:tcPr>
            <w:tcW w:w="709"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0.45</w:t>
            </w:r>
          </w:p>
        </w:tc>
        <w:tc>
          <w:tcPr>
            <w:tcW w:w="850"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2.592</w:t>
            </w:r>
          </w:p>
        </w:tc>
        <w:tc>
          <w:tcPr>
            <w:tcW w:w="85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6.162</w:t>
            </w:r>
          </w:p>
        </w:tc>
        <w:tc>
          <w:tcPr>
            <w:tcW w:w="850"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11.874</w:t>
            </w:r>
          </w:p>
        </w:tc>
        <w:tc>
          <w:tcPr>
            <w:tcW w:w="85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19.014</w:t>
            </w:r>
          </w:p>
        </w:tc>
        <w:tc>
          <w:tcPr>
            <w:tcW w:w="759"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2</w:t>
            </w:r>
          </w:p>
        </w:tc>
        <w:tc>
          <w:tcPr>
            <w:tcW w:w="2258"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装配式建筑占新建建筑比例</w:t>
            </w:r>
            <w:r>
              <w:rPr>
                <w:rStyle w:val="20"/>
                <w:rFonts w:ascii="Times New Roman" w:hAnsi="Times New Roman" w:eastAsia="仿宋_GB2312"/>
                <w:color w:val="000000" w:themeColor="text1"/>
                <w:sz w:val="24"/>
                <w14:textFill>
                  <w14:solidFill>
                    <w14:schemeClr w14:val="tx1"/>
                  </w14:solidFill>
                </w14:textFill>
              </w:rPr>
              <w:t>[</w:t>
            </w:r>
            <w:r>
              <w:rPr>
                <w:rStyle w:val="20"/>
                <w:rFonts w:ascii="Times New Roman" w:hAnsi="Times New Roman" w:eastAsia="仿宋_GB2312"/>
                <w:color w:val="000000" w:themeColor="text1"/>
                <w:sz w:val="24"/>
                <w14:textFill>
                  <w14:solidFill>
                    <w14:schemeClr w14:val="tx1"/>
                  </w14:solidFill>
                </w14:textFill>
              </w:rPr>
              <w:footnoteReference w:id="8"/>
            </w:r>
            <w:r>
              <w:rPr>
                <w:rStyle w:val="20"/>
                <w:rFonts w:ascii="Times New Roman" w:hAnsi="Times New Roman" w:eastAsia="仿宋_GB2312"/>
                <w:color w:val="000000" w:themeColor="text1"/>
                <w:sz w:val="24"/>
                <w14:textFill>
                  <w14:solidFill>
                    <w14:schemeClr w14:val="tx1"/>
                  </w14:solidFill>
                </w14:textFill>
              </w:rPr>
              <w:t>]</w:t>
            </w:r>
          </w:p>
        </w:tc>
        <w:tc>
          <w:tcPr>
            <w:tcW w:w="84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w:t>
            </w:r>
          </w:p>
        </w:tc>
        <w:tc>
          <w:tcPr>
            <w:tcW w:w="709"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850"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30%</w:t>
            </w:r>
          </w:p>
        </w:tc>
        <w:tc>
          <w:tcPr>
            <w:tcW w:w="85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50%</w:t>
            </w:r>
          </w:p>
        </w:tc>
        <w:tc>
          <w:tcPr>
            <w:tcW w:w="850"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80%</w:t>
            </w:r>
          </w:p>
        </w:tc>
        <w:tc>
          <w:tcPr>
            <w:tcW w:w="85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100%</w:t>
            </w:r>
          </w:p>
        </w:tc>
        <w:tc>
          <w:tcPr>
            <w:tcW w:w="759"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3</w:t>
            </w:r>
          </w:p>
        </w:tc>
        <w:tc>
          <w:tcPr>
            <w:tcW w:w="2258"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政府投资项目装配式建筑实施比例</w:t>
            </w:r>
            <w:r>
              <w:rPr>
                <w:rStyle w:val="20"/>
                <w:rFonts w:ascii="Times New Roman" w:hAnsi="Times New Roman" w:eastAsia="仿宋_GB2312"/>
                <w:color w:val="000000" w:themeColor="text1"/>
                <w:sz w:val="24"/>
                <w14:textFill>
                  <w14:solidFill>
                    <w14:schemeClr w14:val="tx1"/>
                  </w14:solidFill>
                </w14:textFill>
              </w:rPr>
              <w:t>[</w:t>
            </w:r>
            <w:r>
              <w:rPr>
                <w:rStyle w:val="20"/>
                <w:rFonts w:ascii="Times New Roman" w:hAnsi="Times New Roman" w:eastAsia="仿宋_GB2312"/>
                <w:color w:val="000000" w:themeColor="text1"/>
                <w:sz w:val="24"/>
                <w14:textFill>
                  <w14:solidFill>
                    <w14:schemeClr w14:val="tx1"/>
                  </w14:solidFill>
                </w14:textFill>
              </w:rPr>
              <w:footnoteReference w:id="9"/>
            </w:r>
            <w:r>
              <w:rPr>
                <w:rStyle w:val="20"/>
                <w:rFonts w:ascii="Times New Roman" w:hAnsi="Times New Roman" w:eastAsia="仿宋_GB2312"/>
                <w:color w:val="000000" w:themeColor="text1"/>
                <w:sz w:val="24"/>
                <w14:textFill>
                  <w14:solidFill>
                    <w14:schemeClr w14:val="tx1"/>
                  </w14:solidFill>
                </w14:textFill>
              </w:rPr>
              <w:t>]</w:t>
            </w:r>
          </w:p>
        </w:tc>
        <w:tc>
          <w:tcPr>
            <w:tcW w:w="84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w:t>
            </w:r>
          </w:p>
        </w:tc>
        <w:tc>
          <w:tcPr>
            <w:tcW w:w="709"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850"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100%</w:t>
            </w:r>
          </w:p>
        </w:tc>
        <w:tc>
          <w:tcPr>
            <w:tcW w:w="85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100%</w:t>
            </w:r>
          </w:p>
        </w:tc>
        <w:tc>
          <w:tcPr>
            <w:tcW w:w="850"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100%</w:t>
            </w:r>
          </w:p>
        </w:tc>
        <w:tc>
          <w:tcPr>
            <w:tcW w:w="85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100%</w:t>
            </w:r>
          </w:p>
        </w:tc>
        <w:tc>
          <w:tcPr>
            <w:tcW w:w="759"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4</w:t>
            </w:r>
          </w:p>
        </w:tc>
        <w:tc>
          <w:tcPr>
            <w:tcW w:w="2258"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全过程</w:t>
            </w:r>
            <w:r>
              <w:rPr>
                <w:rFonts w:ascii="Times New Roman" w:hAnsi="Times New Roman" w:eastAsia="仿宋_GB2312"/>
                <w:color w:val="000000" w:themeColor="text1"/>
                <w:sz w:val="24"/>
                <w14:textFill>
                  <w14:solidFill>
                    <w14:schemeClr w14:val="tx1"/>
                  </w14:solidFill>
                </w14:textFill>
              </w:rPr>
              <w:t>BIM</w:t>
            </w:r>
            <w:r>
              <w:rPr>
                <w:rFonts w:hint="eastAsia" w:ascii="Times New Roman" w:hAnsi="Times New Roman" w:eastAsia="仿宋_GB2312"/>
                <w:color w:val="000000" w:themeColor="text1"/>
                <w:sz w:val="24"/>
                <w14:textFill>
                  <w14:solidFill>
                    <w14:schemeClr w14:val="tx1"/>
                  </w14:solidFill>
                </w14:textFill>
              </w:rPr>
              <w:t>应用项目比例</w:t>
            </w:r>
            <w:r>
              <w:rPr>
                <w:rStyle w:val="20"/>
                <w:rFonts w:ascii="Times New Roman" w:hAnsi="Times New Roman" w:eastAsia="仿宋_GB2312"/>
                <w:color w:val="000000" w:themeColor="text1"/>
                <w:sz w:val="24"/>
                <w14:textFill>
                  <w14:solidFill>
                    <w14:schemeClr w14:val="tx1"/>
                  </w14:solidFill>
                </w14:textFill>
              </w:rPr>
              <w:t>[</w:t>
            </w:r>
            <w:r>
              <w:rPr>
                <w:rStyle w:val="20"/>
                <w:rFonts w:ascii="Times New Roman" w:hAnsi="Times New Roman" w:eastAsia="仿宋_GB2312"/>
                <w:color w:val="000000" w:themeColor="text1"/>
                <w:sz w:val="24"/>
                <w14:textFill>
                  <w14:solidFill>
                    <w14:schemeClr w14:val="tx1"/>
                  </w14:solidFill>
                </w14:textFill>
              </w:rPr>
              <w:footnoteReference w:id="10"/>
            </w:r>
            <w:r>
              <w:rPr>
                <w:rStyle w:val="20"/>
                <w:rFonts w:ascii="Times New Roman" w:hAnsi="Times New Roman" w:eastAsia="仿宋_GB2312"/>
                <w:color w:val="000000" w:themeColor="text1"/>
                <w:sz w:val="24"/>
                <w14:textFill>
                  <w14:solidFill>
                    <w14:schemeClr w14:val="tx1"/>
                  </w14:solidFill>
                </w14:textFill>
              </w:rPr>
              <w:t>]</w:t>
            </w:r>
          </w:p>
        </w:tc>
        <w:tc>
          <w:tcPr>
            <w:tcW w:w="84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w:t>
            </w:r>
          </w:p>
        </w:tc>
        <w:tc>
          <w:tcPr>
            <w:tcW w:w="709"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850"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85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20%</w:t>
            </w:r>
          </w:p>
        </w:tc>
        <w:tc>
          <w:tcPr>
            <w:tcW w:w="850"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30%</w:t>
            </w:r>
          </w:p>
        </w:tc>
        <w:tc>
          <w:tcPr>
            <w:tcW w:w="85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50%</w:t>
            </w:r>
          </w:p>
        </w:tc>
        <w:tc>
          <w:tcPr>
            <w:tcW w:w="759"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5</w:t>
            </w:r>
          </w:p>
        </w:tc>
        <w:tc>
          <w:tcPr>
            <w:tcW w:w="2258"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装配式建筑项目工程总承包（</w:t>
            </w:r>
            <w:r>
              <w:rPr>
                <w:rFonts w:ascii="Times New Roman" w:hAnsi="Times New Roman" w:eastAsia="仿宋_GB2312"/>
                <w:color w:val="000000" w:themeColor="text1"/>
                <w:sz w:val="24"/>
                <w14:textFill>
                  <w14:solidFill>
                    <w14:schemeClr w14:val="tx1"/>
                  </w14:solidFill>
                </w14:textFill>
              </w:rPr>
              <w:t>EPC</w:t>
            </w:r>
            <w:r>
              <w:rPr>
                <w:rFonts w:hint="eastAsia" w:ascii="Times New Roman" w:hAnsi="Times New Roman" w:eastAsia="仿宋_GB2312"/>
                <w:color w:val="000000" w:themeColor="text1"/>
                <w:sz w:val="24"/>
                <w14:textFill>
                  <w14:solidFill>
                    <w14:schemeClr w14:val="tx1"/>
                  </w14:solidFill>
                </w14:textFill>
              </w:rPr>
              <w:t>）比例</w:t>
            </w:r>
            <w:r>
              <w:rPr>
                <w:rStyle w:val="20"/>
                <w:rFonts w:ascii="Times New Roman" w:hAnsi="Times New Roman" w:eastAsia="仿宋_GB2312"/>
                <w:color w:val="000000" w:themeColor="text1"/>
                <w:sz w:val="24"/>
                <w14:textFill>
                  <w14:solidFill>
                    <w14:schemeClr w14:val="tx1"/>
                  </w14:solidFill>
                </w14:textFill>
              </w:rPr>
              <w:t>[</w:t>
            </w:r>
            <w:r>
              <w:rPr>
                <w:rStyle w:val="20"/>
                <w:rFonts w:ascii="Times New Roman" w:hAnsi="Times New Roman" w:eastAsia="仿宋_GB2312"/>
                <w:color w:val="000000" w:themeColor="text1"/>
                <w:sz w:val="24"/>
                <w14:textFill>
                  <w14:solidFill>
                    <w14:schemeClr w14:val="tx1"/>
                  </w14:solidFill>
                </w14:textFill>
              </w:rPr>
              <w:footnoteReference w:id="11"/>
            </w:r>
            <w:r>
              <w:rPr>
                <w:rStyle w:val="20"/>
                <w:rFonts w:ascii="Times New Roman" w:hAnsi="Times New Roman" w:eastAsia="仿宋_GB2312"/>
                <w:color w:val="000000" w:themeColor="text1"/>
                <w:sz w:val="24"/>
                <w14:textFill>
                  <w14:solidFill>
                    <w14:schemeClr w14:val="tx1"/>
                  </w14:solidFill>
                </w14:textFill>
              </w:rPr>
              <w:t>]</w:t>
            </w:r>
          </w:p>
        </w:tc>
        <w:tc>
          <w:tcPr>
            <w:tcW w:w="84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w:t>
            </w:r>
          </w:p>
        </w:tc>
        <w:tc>
          <w:tcPr>
            <w:tcW w:w="709"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850"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85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20%</w:t>
            </w:r>
          </w:p>
        </w:tc>
        <w:tc>
          <w:tcPr>
            <w:tcW w:w="850"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30%</w:t>
            </w:r>
          </w:p>
        </w:tc>
        <w:tc>
          <w:tcPr>
            <w:tcW w:w="85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50%</w:t>
            </w:r>
          </w:p>
        </w:tc>
        <w:tc>
          <w:tcPr>
            <w:tcW w:w="759"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6</w:t>
            </w:r>
          </w:p>
        </w:tc>
        <w:tc>
          <w:tcPr>
            <w:tcW w:w="2258"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政府投资装配式建筑项目工程总承包（</w:t>
            </w:r>
            <w:r>
              <w:rPr>
                <w:rFonts w:ascii="Times New Roman" w:hAnsi="Times New Roman" w:eastAsia="仿宋_GB2312"/>
                <w:color w:val="000000" w:themeColor="text1"/>
                <w:sz w:val="24"/>
                <w14:textFill>
                  <w14:solidFill>
                    <w14:schemeClr w14:val="tx1"/>
                  </w14:solidFill>
                </w14:textFill>
              </w:rPr>
              <w:t>EPC</w:t>
            </w:r>
            <w:r>
              <w:rPr>
                <w:rFonts w:hint="eastAsia" w:ascii="Times New Roman" w:hAnsi="Times New Roman" w:eastAsia="仿宋_GB2312"/>
                <w:color w:val="000000" w:themeColor="text1"/>
                <w:sz w:val="24"/>
                <w14:textFill>
                  <w14:solidFill>
                    <w14:schemeClr w14:val="tx1"/>
                  </w14:solidFill>
                </w14:textFill>
              </w:rPr>
              <w:t>）比例</w:t>
            </w:r>
            <w:r>
              <w:rPr>
                <w:rStyle w:val="20"/>
                <w:rFonts w:ascii="Times New Roman" w:hAnsi="Times New Roman" w:eastAsia="仿宋_GB2312"/>
                <w:color w:val="000000" w:themeColor="text1"/>
                <w:sz w:val="24"/>
                <w14:textFill>
                  <w14:solidFill>
                    <w14:schemeClr w14:val="tx1"/>
                  </w14:solidFill>
                </w14:textFill>
              </w:rPr>
              <w:t>[</w:t>
            </w:r>
            <w:r>
              <w:rPr>
                <w:rStyle w:val="20"/>
                <w:rFonts w:ascii="Times New Roman" w:hAnsi="Times New Roman" w:eastAsia="仿宋_GB2312"/>
                <w:color w:val="000000" w:themeColor="text1"/>
                <w:sz w:val="24"/>
                <w14:textFill>
                  <w14:solidFill>
                    <w14:schemeClr w14:val="tx1"/>
                  </w14:solidFill>
                </w14:textFill>
              </w:rPr>
              <w:footnoteReference w:id="12"/>
            </w:r>
            <w:r>
              <w:rPr>
                <w:rStyle w:val="20"/>
                <w:rFonts w:ascii="Times New Roman" w:hAnsi="Times New Roman" w:eastAsia="仿宋_GB2312"/>
                <w:color w:val="000000" w:themeColor="text1"/>
                <w:sz w:val="24"/>
                <w14:textFill>
                  <w14:solidFill>
                    <w14:schemeClr w14:val="tx1"/>
                  </w14:solidFill>
                </w14:textFill>
              </w:rPr>
              <w:t>]</w:t>
            </w:r>
          </w:p>
        </w:tc>
        <w:tc>
          <w:tcPr>
            <w:tcW w:w="84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w:t>
            </w:r>
          </w:p>
        </w:tc>
        <w:tc>
          <w:tcPr>
            <w:tcW w:w="709"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850"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85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50%</w:t>
            </w:r>
          </w:p>
        </w:tc>
        <w:tc>
          <w:tcPr>
            <w:tcW w:w="850"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70%</w:t>
            </w:r>
          </w:p>
        </w:tc>
        <w:tc>
          <w:tcPr>
            <w:tcW w:w="85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100%</w:t>
            </w:r>
          </w:p>
        </w:tc>
        <w:tc>
          <w:tcPr>
            <w:tcW w:w="759"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7</w:t>
            </w:r>
          </w:p>
        </w:tc>
        <w:tc>
          <w:tcPr>
            <w:tcW w:w="2258"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培训合格技术负责人项目覆盖率</w:t>
            </w:r>
            <w:r>
              <w:rPr>
                <w:rStyle w:val="20"/>
                <w:rFonts w:ascii="Times New Roman" w:hAnsi="Times New Roman" w:eastAsia="仿宋_GB2312"/>
                <w:color w:val="000000" w:themeColor="text1"/>
                <w:sz w:val="24"/>
                <w14:textFill>
                  <w14:solidFill>
                    <w14:schemeClr w14:val="tx1"/>
                  </w14:solidFill>
                </w14:textFill>
              </w:rPr>
              <w:t>[</w:t>
            </w:r>
            <w:r>
              <w:rPr>
                <w:rStyle w:val="20"/>
                <w:rFonts w:ascii="Times New Roman" w:hAnsi="Times New Roman" w:eastAsia="仿宋_GB2312"/>
                <w:color w:val="000000" w:themeColor="text1"/>
                <w:sz w:val="24"/>
                <w14:textFill>
                  <w14:solidFill>
                    <w14:schemeClr w14:val="tx1"/>
                  </w14:solidFill>
                </w14:textFill>
              </w:rPr>
              <w:footnoteReference w:id="13"/>
            </w:r>
            <w:r>
              <w:rPr>
                <w:rStyle w:val="20"/>
                <w:rFonts w:ascii="Times New Roman" w:hAnsi="Times New Roman" w:eastAsia="仿宋_GB2312"/>
                <w:color w:val="000000" w:themeColor="text1"/>
                <w:sz w:val="24"/>
                <w14:textFill>
                  <w14:solidFill>
                    <w14:schemeClr w14:val="tx1"/>
                  </w14:solidFill>
                </w14:textFill>
              </w:rPr>
              <w:t>]</w:t>
            </w:r>
          </w:p>
        </w:tc>
        <w:tc>
          <w:tcPr>
            <w:tcW w:w="84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w:t>
            </w:r>
          </w:p>
        </w:tc>
        <w:tc>
          <w:tcPr>
            <w:tcW w:w="709"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850"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85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100%</w:t>
            </w:r>
          </w:p>
        </w:tc>
        <w:tc>
          <w:tcPr>
            <w:tcW w:w="850"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100%</w:t>
            </w:r>
          </w:p>
        </w:tc>
        <w:tc>
          <w:tcPr>
            <w:tcW w:w="85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100%</w:t>
            </w:r>
          </w:p>
        </w:tc>
        <w:tc>
          <w:tcPr>
            <w:tcW w:w="759"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8</w:t>
            </w:r>
          </w:p>
        </w:tc>
        <w:tc>
          <w:tcPr>
            <w:tcW w:w="2258"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项目产业工人培训合格上岗率</w:t>
            </w:r>
            <w:r>
              <w:rPr>
                <w:rStyle w:val="20"/>
                <w:rFonts w:ascii="Times New Roman" w:hAnsi="Times New Roman" w:eastAsia="仿宋_GB2312"/>
                <w:color w:val="000000" w:themeColor="text1"/>
                <w:sz w:val="24"/>
                <w14:textFill>
                  <w14:solidFill>
                    <w14:schemeClr w14:val="tx1"/>
                  </w14:solidFill>
                </w14:textFill>
              </w:rPr>
              <w:t>[</w:t>
            </w:r>
            <w:r>
              <w:rPr>
                <w:rStyle w:val="20"/>
                <w:rFonts w:ascii="Times New Roman" w:hAnsi="Times New Roman" w:eastAsia="仿宋_GB2312"/>
                <w:color w:val="000000" w:themeColor="text1"/>
                <w:sz w:val="24"/>
                <w14:textFill>
                  <w14:solidFill>
                    <w14:schemeClr w14:val="tx1"/>
                  </w14:solidFill>
                </w14:textFill>
              </w:rPr>
              <w:footnoteReference w:id="14"/>
            </w:r>
            <w:r>
              <w:rPr>
                <w:rStyle w:val="20"/>
                <w:rFonts w:ascii="Times New Roman" w:hAnsi="Times New Roman" w:eastAsia="仿宋_GB2312"/>
                <w:color w:val="000000" w:themeColor="text1"/>
                <w:sz w:val="24"/>
                <w14:textFill>
                  <w14:solidFill>
                    <w14:schemeClr w14:val="tx1"/>
                  </w14:solidFill>
                </w14:textFill>
              </w:rPr>
              <w:t>]</w:t>
            </w:r>
          </w:p>
        </w:tc>
        <w:tc>
          <w:tcPr>
            <w:tcW w:w="84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w:t>
            </w:r>
          </w:p>
        </w:tc>
        <w:tc>
          <w:tcPr>
            <w:tcW w:w="709"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850"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85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100%</w:t>
            </w:r>
          </w:p>
        </w:tc>
        <w:tc>
          <w:tcPr>
            <w:tcW w:w="850" w:type="dxa"/>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100%</w:t>
            </w:r>
          </w:p>
        </w:tc>
        <w:tc>
          <w:tcPr>
            <w:tcW w:w="851"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olor w:val="000000" w:themeColor="text1"/>
                <w:sz w:val="24"/>
                <w14:textFill>
                  <w14:solidFill>
                    <w14:schemeClr w14:val="tx1"/>
                  </w14:solidFill>
                </w14:textFill>
              </w:rPr>
              <w:t>100%</w:t>
            </w:r>
          </w:p>
        </w:tc>
        <w:tc>
          <w:tcPr>
            <w:tcW w:w="759" w:type="dxa"/>
            <w:shd w:val="clear" w:color="auto" w:fill="auto"/>
            <w:vAlign w:val="center"/>
          </w:tcPr>
          <w:p>
            <w:pPr>
              <w:spacing w:line="36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约束性</w:t>
            </w:r>
          </w:p>
        </w:tc>
      </w:tr>
    </w:tbl>
    <w:p>
      <w:pPr>
        <w:pStyle w:val="2"/>
        <w:jc w:val="center"/>
        <w:rPr>
          <w:rFonts w:ascii="Times New Roman" w:hAnsi="Times New Roman" w:eastAsia="黑体" w:cs="黑体"/>
          <w:color w:val="000000" w:themeColor="text1"/>
          <w:sz w:val="32"/>
          <w:szCs w:val="32"/>
          <w14:textFill>
            <w14:solidFill>
              <w14:schemeClr w14:val="tx1"/>
            </w14:solidFill>
          </w14:textFill>
        </w:rPr>
        <w:sectPr>
          <w:footerReference r:id="rId5" w:type="default"/>
          <w:pgSz w:w="11906" w:h="16838"/>
          <w:pgMar w:top="1440" w:right="1800" w:bottom="1440" w:left="1800" w:header="851" w:footer="992" w:gutter="0"/>
          <w:pgNumType w:fmt="decimal"/>
          <w:cols w:space="425" w:num="1"/>
          <w:docGrid w:type="lines" w:linePitch="312" w:charSpace="0"/>
        </w:sectPr>
      </w:pPr>
    </w:p>
    <w:p>
      <w:pPr>
        <w:pStyle w:val="2"/>
        <w:jc w:val="center"/>
        <w:rPr>
          <w:rFonts w:ascii="Times New Roman" w:hAnsi="Times New Roman" w:eastAsia="黑体" w:cs="黑体"/>
          <w:color w:val="000000" w:themeColor="text1"/>
          <w:sz w:val="32"/>
          <w:szCs w:val="32"/>
          <w14:textFill>
            <w14:solidFill>
              <w14:schemeClr w14:val="tx1"/>
            </w14:solidFill>
          </w14:textFill>
        </w:rPr>
      </w:pPr>
      <w:bookmarkStart w:id="57" w:name="_Toc9917"/>
      <w:bookmarkStart w:id="58" w:name="_Toc529282341"/>
      <w:bookmarkStart w:id="59" w:name="_Toc28015"/>
      <w:r>
        <w:rPr>
          <w:rFonts w:hint="eastAsia" w:ascii="Times New Roman" w:hAnsi="Times New Roman" w:eastAsia="黑体" w:cs="黑体"/>
          <w:color w:val="000000" w:themeColor="text1"/>
          <w:sz w:val="32"/>
          <w:szCs w:val="32"/>
          <w14:textFill>
            <w14:solidFill>
              <w14:schemeClr w14:val="tx1"/>
            </w14:solidFill>
          </w14:textFill>
        </w:rPr>
        <w:t>第四章 发展战略和技术路线</w:t>
      </w:r>
      <w:bookmarkEnd w:id="57"/>
      <w:bookmarkEnd w:id="58"/>
      <w:bookmarkEnd w:id="59"/>
    </w:p>
    <w:p>
      <w:pPr>
        <w:pStyle w:val="3"/>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60" w:name="_Toc16011"/>
      <w:bookmarkStart w:id="61" w:name="_Toc529282342"/>
      <w:bookmarkStart w:id="62" w:name="_Toc21891"/>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一、总体发展战略</w:t>
      </w:r>
      <w:bookmarkEnd w:id="60"/>
      <w:bookmarkEnd w:id="61"/>
      <w:bookmarkEnd w:id="62"/>
    </w:p>
    <w:p>
      <w:pPr>
        <w:spacing w:line="360" w:lineRule="auto"/>
        <w:ind w:firstLine="6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以主城区为重点区域推进五指山市装配式建筑发展，以政府投资项目和省、市重点项目为切入点，积极推进装配式建筑示范工作，以点带线、从面到片，</w:t>
      </w:r>
      <w:r>
        <w:rPr>
          <w:rFonts w:ascii="Times New Roman" w:hAnsi="Times New Roman" w:eastAsia="仿宋_GB2312" w:cs="Times New Roman"/>
          <w:color w:val="000000" w:themeColor="text1"/>
          <w:sz w:val="28"/>
          <w:szCs w:val="28"/>
          <w14:textFill>
            <w14:solidFill>
              <w14:schemeClr w14:val="tx1"/>
            </w14:solidFill>
          </w14:textFill>
        </w:rPr>
        <w:t>使得</w:t>
      </w:r>
      <w:r>
        <w:rPr>
          <w:rFonts w:hint="eastAsia" w:ascii="Times New Roman" w:hAnsi="Times New Roman" w:eastAsia="仿宋_GB2312" w:cs="Times New Roman"/>
          <w:color w:val="000000" w:themeColor="text1"/>
          <w:sz w:val="28"/>
          <w:szCs w:val="28"/>
          <w14:textFill>
            <w14:solidFill>
              <w14:schemeClr w14:val="tx1"/>
            </w14:solidFill>
          </w14:textFill>
        </w:rPr>
        <w:t>建筑产业现代化成套部品部件在装配式建筑中得到推广，以示范项目带动五指山市建筑业转型发展。</w:t>
      </w:r>
    </w:p>
    <w:p>
      <w:pPr>
        <w:pStyle w:val="3"/>
        <w:numPr>
          <w:ilvl w:val="255"/>
          <w:numId w:val="0"/>
        </w:numPr>
        <w:tabs>
          <w:tab w:val="left" w:pos="5700"/>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63" w:name="_Toc529282343"/>
      <w:bookmarkStart w:id="64" w:name="_Toc8495"/>
      <w:bookmarkStart w:id="65" w:name="_Toc511227743"/>
      <w:bookmarkStart w:id="66" w:name="_Toc32624"/>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二、总体技术路线</w:t>
      </w:r>
      <w:bookmarkEnd w:id="63"/>
      <w:bookmarkEnd w:id="64"/>
      <w:bookmarkEnd w:id="65"/>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bookmarkStart w:id="67" w:name="_Toc509571575"/>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（一）科学引领技术体系建立</w:t>
      </w:r>
      <w:bookmarkEnd w:id="67"/>
    </w:p>
    <w:p>
      <w:pPr>
        <w:pStyle w:val="28"/>
        <w:widowControl/>
        <w:spacing w:line="360" w:lineRule="auto"/>
        <w:ind w:firstLine="560" w:firstLineChars="200"/>
        <w:rPr>
          <w:rFonts w:ascii="Times New Roman" w:hAnsi="Times New Roman" w:eastAsia="仿宋_GB2312"/>
          <w:color w:val="000000" w:themeColor="text1"/>
          <w:kern w:val="2"/>
          <w:sz w:val="28"/>
          <w14:textFill>
            <w14:solidFill>
              <w14:schemeClr w14:val="tx1"/>
            </w14:solidFill>
          </w14:textFill>
        </w:rPr>
      </w:pPr>
      <w:r>
        <w:rPr>
          <w:rFonts w:hint="eastAsia" w:ascii="Times New Roman" w:hAnsi="Times New Roman" w:eastAsia="仿宋_GB2312"/>
          <w:color w:val="000000" w:themeColor="text1"/>
          <w:kern w:val="2"/>
          <w:sz w:val="28"/>
          <w14:textFill>
            <w14:solidFill>
              <w14:schemeClr w14:val="tx1"/>
            </w14:solidFill>
          </w14:textFill>
        </w:rPr>
        <w:t>根据五指山市特殊的地理位置、气候条件、经济发展水平，适宜引入轻量、</w:t>
      </w:r>
      <w:r>
        <w:rPr>
          <w:rFonts w:ascii="Times New Roman" w:hAnsi="Times New Roman" w:eastAsia="仿宋_GB2312"/>
          <w:color w:val="000000" w:themeColor="text1"/>
          <w:kern w:val="2"/>
          <w:sz w:val="28"/>
          <w14:textFill>
            <w14:solidFill>
              <w14:schemeClr w14:val="tx1"/>
            </w14:solidFill>
          </w14:textFill>
        </w:rPr>
        <w:t>便于</w:t>
      </w:r>
      <w:r>
        <w:rPr>
          <w:rFonts w:hint="eastAsia" w:ascii="Times New Roman" w:hAnsi="Times New Roman" w:eastAsia="仿宋_GB2312"/>
          <w:color w:val="000000" w:themeColor="text1"/>
          <w:kern w:val="2"/>
          <w:sz w:val="28"/>
          <w14:textFill>
            <w14:solidFill>
              <w14:schemeClr w14:val="tx1"/>
            </w14:solidFill>
          </w14:textFill>
        </w:rPr>
        <w:t>运输运转以及方便安装的装配式建筑技术体系。</w:t>
      </w:r>
      <w:r>
        <w:rPr>
          <w:rFonts w:ascii="Times New Roman" w:hAnsi="Times New Roman" w:eastAsia="仿宋_GB2312"/>
          <w:color w:val="000000" w:themeColor="text1"/>
          <w:kern w:val="2"/>
          <w:sz w:val="28"/>
          <w14:textFill>
            <w14:solidFill>
              <w14:schemeClr w14:val="tx1"/>
            </w14:solidFill>
          </w14:textFill>
        </w:rPr>
        <w:t>建议</w:t>
      </w:r>
      <w:r>
        <w:rPr>
          <w:rFonts w:hint="eastAsia" w:ascii="Times New Roman" w:hAnsi="Times New Roman" w:eastAsia="仿宋_GB2312"/>
          <w:color w:val="000000" w:themeColor="text1"/>
          <w:kern w:val="2"/>
          <w:sz w:val="28"/>
          <w14:textFill>
            <w14:solidFill>
              <w14:schemeClr w14:val="tx1"/>
            </w14:solidFill>
          </w14:textFill>
        </w:rPr>
        <w:t>主城区</w:t>
      </w:r>
      <w:r>
        <w:rPr>
          <w:rFonts w:hint="eastAsia" w:ascii="Times New Roman" w:hAnsi="Times New Roman" w:eastAsia="仿宋_GB2312"/>
          <w:color w:val="000000" w:themeColor="text1"/>
          <w:sz w:val="28"/>
          <w:szCs w:val="28"/>
          <w14:textFill>
            <w14:solidFill>
              <w14:schemeClr w14:val="tx1"/>
            </w14:solidFill>
          </w14:textFill>
        </w:rPr>
        <w:t>以装配式钢结构建筑和装配式木结构建筑技术体系为主，装配式轻型钢结构建筑为辅，生态保护区域、特色小镇、</w:t>
      </w:r>
      <w:r>
        <w:rPr>
          <w:rFonts w:ascii="Times New Roman" w:hAnsi="Times New Roman" w:eastAsia="仿宋_GB2312"/>
          <w:color w:val="000000" w:themeColor="text1"/>
          <w:sz w:val="28"/>
          <w:szCs w:val="28"/>
          <w14:textFill>
            <w14:solidFill>
              <w14:schemeClr w14:val="tx1"/>
            </w14:solidFill>
          </w14:textFill>
        </w:rPr>
        <w:t>旅游度假区</w:t>
      </w:r>
      <w:r>
        <w:rPr>
          <w:rFonts w:hint="eastAsia" w:ascii="Times New Roman" w:hAnsi="Times New Roman" w:eastAsia="仿宋_GB2312"/>
          <w:color w:val="000000" w:themeColor="text1"/>
          <w:sz w:val="28"/>
          <w:szCs w:val="28"/>
          <w14:textFill>
            <w14:solidFill>
              <w14:schemeClr w14:val="tx1"/>
            </w14:solidFill>
          </w14:textFill>
        </w:rPr>
        <w:t>等区域发展木结构建筑及便于拆分组装的游牧式装配建筑或模块化装配式建筑技术体系。</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2268"/>
        <w:gridCol w:w="2200"/>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Borders>
              <w:tl2br w:val="single" w:color="auto" w:sz="4" w:space="0"/>
            </w:tcBorders>
            <w:shd w:val="clear" w:color="auto" w:fill="auto"/>
          </w:tcPr>
          <w:p>
            <w:pPr>
              <w:pStyle w:val="28"/>
              <w:widowControl/>
              <w:spacing w:line="360" w:lineRule="auto"/>
              <w:ind w:firstLine="840" w:firstLineChars="350"/>
              <w:rPr>
                <w:rFonts w:ascii="Times New Roman" w:hAnsi="Times New Roman" w:eastAsia="仿宋_GB2312"/>
                <w:color w:val="000000" w:themeColor="text1"/>
                <w14:textFill>
                  <w14:solidFill>
                    <w14:schemeClr w14:val="tx1"/>
                  </w14:solidFill>
                </w14:textFill>
              </w:rPr>
            </w:pPr>
            <w:r>
              <w:rPr>
                <w:rFonts w:hint="eastAsia" w:ascii="Times New Roman" w:hAnsi="Times New Roman" w:eastAsia="仿宋_GB2312"/>
                <w:color w:val="000000" w:themeColor="text1"/>
                <w14:textFill>
                  <w14:solidFill>
                    <w14:schemeClr w14:val="tx1"/>
                  </w14:solidFill>
                </w14:textFill>
              </w:rPr>
              <w:t>建筑类型</w:t>
            </w:r>
          </w:p>
          <w:p>
            <w:pPr>
              <w:pStyle w:val="28"/>
              <w:widowControl/>
              <w:spacing w:line="360" w:lineRule="auto"/>
              <w:rPr>
                <w:rFonts w:ascii="Times New Roman" w:hAnsi="Times New Roman" w:eastAsia="仿宋_GB2312"/>
                <w:color w:val="000000" w:themeColor="text1"/>
                <w14:textFill>
                  <w14:solidFill>
                    <w14:schemeClr w14:val="tx1"/>
                  </w14:solidFill>
                </w14:textFill>
              </w:rPr>
            </w:pPr>
            <w:r>
              <w:rPr>
                <w:rFonts w:hint="eastAsia" w:ascii="Times New Roman" w:hAnsi="Times New Roman" w:eastAsia="仿宋_GB2312"/>
                <w:color w:val="000000" w:themeColor="text1"/>
                <w14:textFill>
                  <w14:solidFill>
                    <w14:schemeClr w14:val="tx1"/>
                  </w14:solidFill>
                </w14:textFill>
              </w:rPr>
              <w:t xml:space="preserve">区域  </w:t>
            </w:r>
          </w:p>
        </w:tc>
        <w:tc>
          <w:tcPr>
            <w:tcW w:w="2268" w:type="dxa"/>
            <w:shd w:val="clear" w:color="auto" w:fill="auto"/>
            <w:vAlign w:val="center"/>
          </w:tcPr>
          <w:p>
            <w:pPr>
              <w:pStyle w:val="28"/>
              <w:widowControl/>
              <w:spacing w:line="360" w:lineRule="auto"/>
              <w:jc w:val="center"/>
              <w:rPr>
                <w:rFonts w:ascii="Times New Roman" w:hAnsi="Times New Roman" w:eastAsia="仿宋_GB2312"/>
                <w:color w:val="000000" w:themeColor="text1"/>
                <w14:textFill>
                  <w14:solidFill>
                    <w14:schemeClr w14:val="tx1"/>
                  </w14:solidFill>
                </w14:textFill>
              </w:rPr>
            </w:pPr>
            <w:r>
              <w:rPr>
                <w:rFonts w:hint="eastAsia" w:ascii="Times New Roman" w:hAnsi="Times New Roman" w:eastAsia="仿宋_GB2312"/>
                <w:color w:val="000000" w:themeColor="text1"/>
                <w14:textFill>
                  <w14:solidFill>
                    <w14:schemeClr w14:val="tx1"/>
                  </w14:solidFill>
                </w14:textFill>
              </w:rPr>
              <w:t>居住建筑</w:t>
            </w:r>
          </w:p>
        </w:tc>
        <w:tc>
          <w:tcPr>
            <w:tcW w:w="2200" w:type="dxa"/>
            <w:shd w:val="clear" w:color="auto" w:fill="auto"/>
            <w:vAlign w:val="center"/>
          </w:tcPr>
          <w:p>
            <w:pPr>
              <w:pStyle w:val="28"/>
              <w:widowControl/>
              <w:spacing w:line="360" w:lineRule="auto"/>
              <w:jc w:val="center"/>
              <w:rPr>
                <w:rFonts w:ascii="Times New Roman" w:hAnsi="Times New Roman" w:eastAsia="仿宋_GB2312"/>
                <w:color w:val="000000" w:themeColor="text1"/>
                <w14:textFill>
                  <w14:solidFill>
                    <w14:schemeClr w14:val="tx1"/>
                  </w14:solidFill>
                </w14:textFill>
              </w:rPr>
            </w:pPr>
            <w:r>
              <w:rPr>
                <w:rFonts w:hint="eastAsia" w:ascii="Times New Roman" w:hAnsi="Times New Roman" w:eastAsia="仿宋_GB2312"/>
                <w:color w:val="000000" w:themeColor="text1"/>
                <w14:textFill>
                  <w14:solidFill>
                    <w14:schemeClr w14:val="tx1"/>
                  </w14:solidFill>
                </w14:textFill>
              </w:rPr>
              <w:t>公共建筑</w:t>
            </w:r>
          </w:p>
        </w:tc>
        <w:tc>
          <w:tcPr>
            <w:tcW w:w="1678" w:type="dxa"/>
            <w:shd w:val="clear" w:color="auto" w:fill="auto"/>
            <w:vAlign w:val="center"/>
          </w:tcPr>
          <w:p>
            <w:pPr>
              <w:pStyle w:val="28"/>
              <w:widowControl/>
              <w:spacing w:line="360" w:lineRule="auto"/>
              <w:jc w:val="center"/>
              <w:rPr>
                <w:rFonts w:ascii="Times New Roman" w:hAnsi="Times New Roman" w:eastAsia="仿宋_GB2312"/>
                <w:color w:val="000000" w:themeColor="text1"/>
                <w14:textFill>
                  <w14:solidFill>
                    <w14:schemeClr w14:val="tx1"/>
                  </w14:solidFill>
                </w14:textFill>
              </w:rPr>
            </w:pPr>
            <w:r>
              <w:rPr>
                <w:rFonts w:hint="eastAsia" w:ascii="Times New Roman" w:hAnsi="Times New Roman" w:eastAsia="仿宋_GB2312"/>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shd w:val="clear" w:color="auto" w:fill="auto"/>
            <w:vAlign w:val="center"/>
          </w:tcPr>
          <w:p>
            <w:pPr>
              <w:pStyle w:val="28"/>
              <w:widowControl/>
              <w:spacing w:line="360" w:lineRule="auto"/>
              <w:jc w:val="center"/>
              <w:rPr>
                <w:rFonts w:ascii="Times New Roman" w:hAnsi="Times New Roman" w:eastAsia="仿宋_GB2312"/>
                <w:color w:val="000000" w:themeColor="text1"/>
                <w14:textFill>
                  <w14:solidFill>
                    <w14:schemeClr w14:val="tx1"/>
                  </w14:solidFill>
                </w14:textFill>
              </w:rPr>
            </w:pPr>
            <w:r>
              <w:rPr>
                <w:rFonts w:hint="eastAsia" w:ascii="Times New Roman" w:hAnsi="Times New Roman" w:eastAsia="仿宋_GB2312"/>
                <w:color w:val="000000" w:themeColor="text1"/>
                <w14:textFill>
                  <w14:solidFill>
                    <w14:schemeClr w14:val="tx1"/>
                  </w14:solidFill>
                </w14:textFill>
              </w:rPr>
              <w:t>主城区</w:t>
            </w:r>
          </w:p>
        </w:tc>
        <w:tc>
          <w:tcPr>
            <w:tcW w:w="2268" w:type="dxa"/>
            <w:shd w:val="clear" w:color="auto" w:fill="auto"/>
          </w:tcPr>
          <w:p>
            <w:pPr>
              <w:pStyle w:val="28"/>
              <w:widowControl/>
              <w:spacing w:line="360" w:lineRule="auto"/>
              <w:rPr>
                <w:rFonts w:ascii="Times New Roman" w:hAnsi="Times New Roman" w:eastAsia="仿宋_GB2312"/>
                <w:color w:val="000000" w:themeColor="text1"/>
                <w14:textFill>
                  <w14:solidFill>
                    <w14:schemeClr w14:val="tx1"/>
                  </w14:solidFill>
                </w14:textFill>
              </w:rPr>
            </w:pPr>
            <w:r>
              <w:rPr>
                <w:rFonts w:hint="eastAsia" w:ascii="Times New Roman" w:hAnsi="Times New Roman" w:eastAsia="仿宋_GB2312"/>
                <w:color w:val="000000" w:themeColor="text1"/>
                <w14:textFill>
                  <w14:solidFill>
                    <w14:schemeClr w14:val="tx1"/>
                  </w14:solidFill>
                </w14:textFill>
              </w:rPr>
              <w:t>装配式钢结构为主</w:t>
            </w:r>
          </w:p>
        </w:tc>
        <w:tc>
          <w:tcPr>
            <w:tcW w:w="2200" w:type="dxa"/>
            <w:shd w:val="clear" w:color="auto" w:fill="auto"/>
          </w:tcPr>
          <w:p>
            <w:pPr>
              <w:pStyle w:val="28"/>
              <w:widowControl/>
              <w:spacing w:line="360" w:lineRule="auto"/>
              <w:rPr>
                <w:rFonts w:ascii="Times New Roman" w:hAnsi="Times New Roman" w:eastAsia="仿宋_GB2312"/>
                <w:color w:val="000000" w:themeColor="text1"/>
                <w14:textFill>
                  <w14:solidFill>
                    <w14:schemeClr w14:val="tx1"/>
                  </w14:solidFill>
                </w14:textFill>
              </w:rPr>
            </w:pPr>
            <w:r>
              <w:rPr>
                <w:rFonts w:hint="eastAsia" w:ascii="Times New Roman" w:hAnsi="Times New Roman" w:eastAsia="仿宋_GB2312"/>
                <w:color w:val="000000" w:themeColor="text1"/>
                <w14:textFill>
                  <w14:solidFill>
                    <w14:schemeClr w14:val="tx1"/>
                  </w14:solidFill>
                </w14:textFill>
              </w:rPr>
              <w:t>装配式钢结构为主，低、多层规则建筑采用装配式木结构</w:t>
            </w:r>
          </w:p>
        </w:tc>
        <w:tc>
          <w:tcPr>
            <w:tcW w:w="1678" w:type="dxa"/>
            <w:vMerge w:val="restart"/>
            <w:shd w:val="clear" w:color="auto" w:fill="auto"/>
          </w:tcPr>
          <w:p>
            <w:pPr>
              <w:pStyle w:val="28"/>
              <w:spacing w:line="360" w:lineRule="auto"/>
              <w:rPr>
                <w:rFonts w:ascii="Times New Roman" w:hAnsi="Times New Roman" w:eastAsia="仿宋_GB2312"/>
                <w:color w:val="000000" w:themeColor="text1"/>
                <w14:textFill>
                  <w14:solidFill>
                    <w14:schemeClr w14:val="tx1"/>
                  </w14:solidFill>
                </w14:textFill>
              </w:rPr>
            </w:pPr>
            <w:r>
              <w:rPr>
                <w:rFonts w:hint="eastAsia" w:ascii="Times New Roman" w:hAnsi="Times New Roman" w:eastAsia="仿宋_GB2312"/>
                <w:color w:val="000000" w:themeColor="text1"/>
                <w14:textFill>
                  <w14:solidFill>
                    <w14:schemeClr w14:val="tx1"/>
                  </w14:solidFill>
                </w14:textFill>
              </w:rPr>
              <w:t>在五指山市内旅游设施、园林景观、别墅、庄园中推广木结构。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376" w:type="dxa"/>
            <w:shd w:val="clear" w:color="auto" w:fill="auto"/>
            <w:vAlign w:val="center"/>
          </w:tcPr>
          <w:p>
            <w:pPr>
              <w:pStyle w:val="28"/>
              <w:widowControl/>
              <w:spacing w:line="360" w:lineRule="auto"/>
              <w:jc w:val="center"/>
              <w:rPr>
                <w:rFonts w:ascii="Times New Roman" w:hAnsi="Times New Roman" w:eastAsia="仿宋_GB2312"/>
                <w:color w:val="000000" w:themeColor="text1"/>
                <w14:textFill>
                  <w14:solidFill>
                    <w14:schemeClr w14:val="tx1"/>
                  </w14:solidFill>
                </w14:textFill>
              </w:rPr>
            </w:pPr>
            <w:r>
              <w:rPr>
                <w:rFonts w:hint="eastAsia" w:ascii="Times New Roman" w:hAnsi="Times New Roman" w:eastAsia="仿宋_GB2312"/>
                <w:color w:val="000000" w:themeColor="text1"/>
                <w14:textFill>
                  <w14:solidFill>
                    <w14:schemeClr w14:val="tx1"/>
                  </w14:solidFill>
                </w14:textFill>
              </w:rPr>
              <w:t>特色小镇、生态旅游区、生态保护区</w:t>
            </w:r>
          </w:p>
        </w:tc>
        <w:tc>
          <w:tcPr>
            <w:tcW w:w="4468" w:type="dxa"/>
            <w:gridSpan w:val="2"/>
            <w:shd w:val="clear" w:color="auto" w:fill="auto"/>
          </w:tcPr>
          <w:p>
            <w:pPr>
              <w:pStyle w:val="28"/>
              <w:widowControl/>
              <w:spacing w:line="360" w:lineRule="auto"/>
              <w:rPr>
                <w:rFonts w:ascii="Times New Roman" w:hAnsi="Times New Roman" w:eastAsia="仿宋_GB2312"/>
                <w:color w:val="000000" w:themeColor="text1"/>
                <w14:textFill>
                  <w14:solidFill>
                    <w14:schemeClr w14:val="tx1"/>
                  </w14:solidFill>
                </w14:textFill>
              </w:rPr>
            </w:pPr>
            <w:r>
              <w:rPr>
                <w:rFonts w:hint="eastAsia" w:ascii="Times New Roman" w:hAnsi="Times New Roman" w:eastAsia="仿宋_GB2312"/>
                <w:color w:val="000000" w:themeColor="text1"/>
                <w14:textFill>
                  <w14:solidFill>
                    <w14:schemeClr w14:val="tx1"/>
                  </w14:solidFill>
                </w14:textFill>
              </w:rPr>
              <w:t>装配式木结构建筑及游牧式或模块化装配建筑技术体系。</w:t>
            </w:r>
          </w:p>
        </w:tc>
        <w:tc>
          <w:tcPr>
            <w:tcW w:w="1678" w:type="dxa"/>
            <w:vMerge w:val="continue"/>
            <w:shd w:val="clear" w:color="auto" w:fill="auto"/>
          </w:tcPr>
          <w:p>
            <w:pPr>
              <w:pStyle w:val="28"/>
              <w:spacing w:line="360" w:lineRule="auto"/>
              <w:rPr>
                <w:rFonts w:ascii="Times New Roman" w:hAnsi="Times New Roman" w:eastAsia="仿宋_GB2312"/>
                <w:color w:val="000000" w:themeColor="text1"/>
                <w14:textFill>
                  <w14:solidFill>
                    <w14:schemeClr w14:val="tx1"/>
                  </w14:solidFill>
                </w14:textFill>
              </w:rPr>
            </w:pPr>
          </w:p>
        </w:tc>
      </w:tr>
    </w:tbl>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bookmarkStart w:id="68" w:name="_Toc509571576"/>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（二）强化理念及新型技术学习</w:t>
      </w:r>
    </w:p>
    <w:p>
      <w:pPr>
        <w:ind w:firstLine="560" w:firstLineChars="20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由市住房城乡建设局组织建设单位、</w:t>
      </w:r>
      <w:r>
        <w:rPr>
          <w:rFonts w:ascii="Times New Roman" w:hAnsi="Times New Roman" w:eastAsia="仿宋_GB2312"/>
          <w:color w:val="000000" w:themeColor="text1"/>
          <w:sz w:val="28"/>
          <w:szCs w:val="28"/>
          <w14:textFill>
            <w14:solidFill>
              <w14:schemeClr w14:val="tx1"/>
            </w14:solidFill>
          </w14:textFill>
        </w:rPr>
        <w:t>设计</w:t>
      </w:r>
      <w:r>
        <w:rPr>
          <w:rFonts w:hint="eastAsia" w:ascii="Times New Roman" w:hAnsi="Times New Roman" w:eastAsia="仿宋_GB2312"/>
          <w:color w:val="000000" w:themeColor="text1"/>
          <w:sz w:val="28"/>
          <w:szCs w:val="28"/>
          <w14:textFill>
            <w14:solidFill>
              <w14:schemeClr w14:val="tx1"/>
            </w14:solidFill>
          </w14:textFill>
        </w:rPr>
        <w:t>单位、</w:t>
      </w:r>
      <w:r>
        <w:rPr>
          <w:rFonts w:ascii="Times New Roman" w:hAnsi="Times New Roman" w:eastAsia="仿宋_GB2312"/>
          <w:color w:val="000000" w:themeColor="text1"/>
          <w:sz w:val="28"/>
          <w:szCs w:val="28"/>
          <w14:textFill>
            <w14:solidFill>
              <w14:schemeClr w14:val="tx1"/>
            </w14:solidFill>
          </w14:textFill>
        </w:rPr>
        <w:t>施工</w:t>
      </w:r>
      <w:r>
        <w:rPr>
          <w:rFonts w:hint="eastAsia" w:ascii="Times New Roman" w:hAnsi="Times New Roman" w:eastAsia="仿宋_GB2312"/>
          <w:color w:val="000000" w:themeColor="text1"/>
          <w:sz w:val="28"/>
          <w:szCs w:val="28"/>
          <w14:textFill>
            <w14:solidFill>
              <w14:schemeClr w14:val="tx1"/>
            </w14:solidFill>
          </w14:textFill>
        </w:rPr>
        <w:t>单位、监理单位参与省内装配式建筑相关知识的培训宣贯，重点学习国家及省内标准，</w:t>
      </w:r>
      <w:r>
        <w:rPr>
          <w:rFonts w:ascii="Times New Roman" w:hAnsi="Times New Roman" w:eastAsia="仿宋_GB2312"/>
          <w:color w:val="000000" w:themeColor="text1"/>
          <w:sz w:val="28"/>
          <w:szCs w:val="28"/>
          <w14:textFill>
            <w14:solidFill>
              <w14:schemeClr w14:val="tx1"/>
            </w14:solidFill>
          </w14:textFill>
        </w:rPr>
        <w:t>逐步</w:t>
      </w:r>
      <w:r>
        <w:rPr>
          <w:rFonts w:hint="eastAsia" w:ascii="Times New Roman" w:hAnsi="Times New Roman" w:eastAsia="仿宋_GB2312"/>
          <w:color w:val="000000" w:themeColor="text1"/>
          <w:sz w:val="28"/>
          <w:szCs w:val="28"/>
          <w14:textFill>
            <w14:solidFill>
              <w14:schemeClr w14:val="tx1"/>
            </w14:solidFill>
          </w14:textFill>
        </w:rPr>
        <w:t>推广装配式建筑理念。组织前往有经验的示范项目学习装配式建筑建造及施工经验，参加装配式建筑实操训练，系统学习围护结构节点连接、</w:t>
      </w:r>
      <w:r>
        <w:rPr>
          <w:rFonts w:ascii="Times New Roman" w:hAnsi="Times New Roman" w:eastAsia="仿宋_GB2312"/>
          <w:color w:val="000000" w:themeColor="text1"/>
          <w:sz w:val="28"/>
          <w:szCs w:val="28"/>
          <w14:textFill>
            <w14:solidFill>
              <w14:schemeClr w14:val="tx1"/>
            </w14:solidFill>
          </w14:textFill>
        </w:rPr>
        <w:t>协同</w:t>
      </w:r>
      <w:r>
        <w:rPr>
          <w:rFonts w:hint="eastAsia" w:ascii="Times New Roman" w:hAnsi="Times New Roman" w:eastAsia="仿宋_GB2312"/>
          <w:color w:val="000000" w:themeColor="text1"/>
          <w:sz w:val="28"/>
          <w:szCs w:val="28"/>
          <w14:textFill>
            <w14:solidFill>
              <w14:schemeClr w14:val="tx1"/>
            </w14:solidFill>
          </w14:textFill>
        </w:rPr>
        <w:t>装配、</w:t>
      </w:r>
      <w:r>
        <w:rPr>
          <w:rFonts w:ascii="Times New Roman" w:hAnsi="Times New Roman" w:eastAsia="仿宋_GB2312"/>
          <w:color w:val="000000" w:themeColor="text1"/>
          <w:sz w:val="28"/>
          <w:szCs w:val="28"/>
          <w14:textFill>
            <w14:solidFill>
              <w14:schemeClr w14:val="tx1"/>
            </w14:solidFill>
          </w14:textFill>
        </w:rPr>
        <w:t>装饰装修</w:t>
      </w:r>
      <w:r>
        <w:rPr>
          <w:rFonts w:hint="eastAsia" w:ascii="Times New Roman" w:hAnsi="Times New Roman" w:eastAsia="仿宋_GB2312"/>
          <w:color w:val="000000" w:themeColor="text1"/>
          <w:sz w:val="28"/>
          <w:szCs w:val="28"/>
          <w14:textFill>
            <w14:solidFill>
              <w14:schemeClr w14:val="tx1"/>
            </w14:solidFill>
          </w14:textFill>
        </w:rPr>
        <w:t>集成安装等新型技术。</w:t>
      </w:r>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（三）推动工程总承包模式的实施</w:t>
      </w:r>
      <w:bookmarkEnd w:id="68"/>
    </w:p>
    <w:p>
      <w:pPr>
        <w:ind w:firstLine="560" w:firstLineChars="20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装配式建筑建设期间推行工程总承包模式，形成相互整合、集约优质的一体化建造。在尚不具备条件实施工程总承包模式的项目中，实行工程设计、</w:t>
      </w:r>
      <w:r>
        <w:rPr>
          <w:rFonts w:ascii="Times New Roman" w:hAnsi="Times New Roman" w:eastAsia="仿宋_GB2312"/>
          <w:color w:val="000000" w:themeColor="text1"/>
          <w:sz w:val="28"/>
          <w:szCs w:val="28"/>
          <w14:textFill>
            <w14:solidFill>
              <w14:schemeClr w14:val="tx1"/>
            </w14:solidFill>
          </w14:textFill>
        </w:rPr>
        <w:t>生产</w:t>
      </w:r>
      <w:r>
        <w:rPr>
          <w:rFonts w:hint="eastAsia" w:ascii="Times New Roman" w:hAnsi="Times New Roman" w:eastAsia="仿宋_GB2312"/>
          <w:color w:val="000000" w:themeColor="text1"/>
          <w:sz w:val="28"/>
          <w:szCs w:val="28"/>
          <w14:textFill>
            <w14:solidFill>
              <w14:schemeClr w14:val="tx1"/>
            </w14:solidFill>
          </w14:textFill>
        </w:rPr>
        <w:t>、施工的全过程咨询，由有经验的咨询单位来协助建设单位整合设计、生产、施工全过程，实现各专业的一体化及全产业链的一体化。</w:t>
      </w:r>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bookmarkStart w:id="69" w:name="_Toc509571577"/>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（四）加强信息化技术应用</w:t>
      </w:r>
      <w:bookmarkEnd w:id="69"/>
    </w:p>
    <w:p>
      <w:pPr>
        <w:ind w:firstLine="560" w:firstLineChars="20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鼓励装配式建筑项目引进BIM信息化软件，</w:t>
      </w:r>
      <w:r>
        <w:rPr>
          <w:rFonts w:ascii="Times New Roman" w:hAnsi="Times New Roman" w:eastAsia="仿宋_GB2312"/>
          <w:color w:val="000000" w:themeColor="text1"/>
          <w:sz w:val="28"/>
          <w:szCs w:val="28"/>
          <w14:textFill>
            <w14:solidFill>
              <w14:schemeClr w14:val="tx1"/>
            </w14:solidFill>
          </w14:textFill>
        </w:rPr>
        <w:t>对</w:t>
      </w:r>
      <w:r>
        <w:rPr>
          <w:rFonts w:hint="eastAsia" w:ascii="Times New Roman" w:hAnsi="Times New Roman" w:eastAsia="仿宋_GB2312"/>
          <w:color w:val="000000" w:themeColor="text1"/>
          <w:sz w:val="28"/>
          <w:szCs w:val="28"/>
          <w14:textFill>
            <w14:solidFill>
              <w14:schemeClr w14:val="tx1"/>
            </w14:solidFill>
          </w14:textFill>
        </w:rPr>
        <w:t>项目进行信息化管理，</w:t>
      </w:r>
      <w:r>
        <w:rPr>
          <w:rFonts w:ascii="Times New Roman" w:hAnsi="Times New Roman" w:eastAsia="仿宋_GB2312"/>
          <w:color w:val="000000" w:themeColor="text1"/>
          <w:sz w:val="28"/>
          <w:szCs w:val="28"/>
          <w14:textFill>
            <w14:solidFill>
              <w14:schemeClr w14:val="tx1"/>
            </w14:solidFill>
          </w14:textFill>
        </w:rPr>
        <w:t>同时</w:t>
      </w:r>
      <w:r>
        <w:rPr>
          <w:rFonts w:hint="eastAsia" w:ascii="Times New Roman" w:hAnsi="Times New Roman" w:eastAsia="仿宋_GB2312"/>
          <w:color w:val="000000" w:themeColor="text1"/>
          <w:sz w:val="28"/>
          <w:szCs w:val="28"/>
          <w14:textFill>
            <w14:solidFill>
              <w14:schemeClr w14:val="tx1"/>
            </w14:solidFill>
          </w14:textFill>
        </w:rPr>
        <w:t>应建立贯穿设计、生产和施工过程的全专业BIM模型，并实现项目的轻量化BIM模型交付。以BIM信息化技术作为实现“建筑、结构、机电、装修”一体化和“设计、生产、施工、运维”一体化的手段，提高装配式建筑的质量和效率。加强装配式建筑全过程信息化管理，完善建筑工业化、产业化应用集成，实现数据共享。</w:t>
      </w:r>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bookmarkStart w:id="70" w:name="_Toc509571579"/>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（五）共同搭建技术交流平台</w:t>
      </w:r>
      <w:bookmarkEnd w:id="70"/>
    </w:p>
    <w:p>
      <w:pPr>
        <w:ind w:firstLine="560" w:firstLineChars="20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鼓励市域内从事建筑行业的建设单位、</w:t>
      </w:r>
      <w:r>
        <w:rPr>
          <w:rFonts w:ascii="Times New Roman" w:hAnsi="Times New Roman" w:eastAsia="仿宋_GB2312"/>
          <w:color w:val="000000" w:themeColor="text1"/>
          <w:sz w:val="28"/>
          <w:szCs w:val="28"/>
          <w14:textFill>
            <w14:solidFill>
              <w14:schemeClr w14:val="tx1"/>
            </w14:solidFill>
          </w14:textFill>
        </w:rPr>
        <w:t>科研</w:t>
      </w:r>
      <w:r>
        <w:rPr>
          <w:rFonts w:hint="eastAsia" w:ascii="Times New Roman" w:hAnsi="Times New Roman" w:eastAsia="仿宋_GB2312"/>
          <w:color w:val="000000" w:themeColor="text1"/>
          <w:sz w:val="28"/>
          <w:szCs w:val="28"/>
          <w14:textFill>
            <w14:solidFill>
              <w14:schemeClr w14:val="tx1"/>
            </w14:solidFill>
          </w14:textFill>
        </w:rPr>
        <w:t>单位或</w:t>
      </w:r>
      <w:r>
        <w:rPr>
          <w:rFonts w:ascii="Times New Roman" w:hAnsi="Times New Roman" w:eastAsia="仿宋_GB2312"/>
          <w:color w:val="000000" w:themeColor="text1"/>
          <w:sz w:val="28"/>
          <w:szCs w:val="28"/>
          <w14:textFill>
            <w14:solidFill>
              <w14:schemeClr w14:val="tx1"/>
            </w14:solidFill>
          </w14:textFill>
        </w:rPr>
        <w:t>施工</w:t>
      </w:r>
      <w:r>
        <w:rPr>
          <w:rFonts w:hint="eastAsia" w:ascii="Times New Roman" w:hAnsi="Times New Roman" w:eastAsia="仿宋_GB2312"/>
          <w:color w:val="000000" w:themeColor="text1"/>
          <w:sz w:val="28"/>
          <w:szCs w:val="28"/>
          <w14:textFill>
            <w14:solidFill>
              <w14:schemeClr w14:val="tx1"/>
            </w14:solidFill>
          </w14:textFill>
        </w:rPr>
        <w:t>单位加入省内装配式产业联盟，参与海南省技术交流平台搭建，对适宜五指山市应用的施工工法、连接工艺以及全装修、建筑信息模型技术（BIM）等关键技术进行探讨交流，提高当地建造技术水平。</w:t>
      </w:r>
    </w:p>
    <w:p>
      <w:pPr>
        <w:pStyle w:val="3"/>
        <w:numPr>
          <w:ilvl w:val="255"/>
          <w:numId w:val="0"/>
        </w:numPr>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71" w:name="_Toc509571580"/>
      <w:bookmarkStart w:id="72" w:name="_Toc19727"/>
      <w:bookmarkStart w:id="73" w:name="_Toc511227744"/>
      <w:bookmarkStart w:id="74" w:name="_Toc529282344"/>
      <w:bookmarkStart w:id="75" w:name="_Toc509571326"/>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三、装配式建筑重点工作和产业发展计划</w:t>
      </w:r>
      <w:bookmarkEnd w:id="71"/>
      <w:bookmarkEnd w:id="72"/>
      <w:bookmarkEnd w:id="73"/>
      <w:bookmarkEnd w:id="74"/>
      <w:bookmarkEnd w:id="75"/>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bookmarkStart w:id="76" w:name="_Toc509571581"/>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（一）完善激励奖励政策</w:t>
      </w:r>
      <w:bookmarkEnd w:id="76"/>
      <w:r>
        <w:rPr>
          <w:rFonts w:hint="eastAsia" w:ascii="楷体_GB2312" w:hAnsi="楷体_GB2312" w:eastAsia="楷体_GB2312" w:cs="楷体_GB2312"/>
          <w:b w:val="0"/>
          <w:bCs/>
          <w:color w:val="000000" w:themeColor="text1"/>
          <w:sz w:val="28"/>
          <w:szCs w:val="28"/>
          <w14:textFill>
            <w14:solidFill>
              <w14:schemeClr w14:val="tx1"/>
            </w14:solidFill>
          </w14:textFill>
        </w:rPr>
        <w:t>，强化质量监督管理</w:t>
      </w:r>
    </w:p>
    <w:p>
      <w:pPr>
        <w:ind w:firstLine="560" w:firstLineChars="20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完善推广装配式建筑的激励政策、制定年度工作计划，研究建立适应装配式建筑一体化的建设管理制度，梳理管理监管流程，加强</w:t>
      </w:r>
      <w:r>
        <w:rPr>
          <w:rFonts w:ascii="Times New Roman" w:hAnsi="Times New Roman" w:eastAsia="仿宋_GB2312"/>
          <w:color w:val="000000" w:themeColor="text1"/>
          <w:sz w:val="28"/>
          <w:szCs w:val="28"/>
          <w14:textFill>
            <w14:solidFill>
              <w14:schemeClr w14:val="tx1"/>
            </w14:solidFill>
          </w14:textFill>
        </w:rPr>
        <w:t>监管部门对预制部品部件质量监管</w:t>
      </w:r>
      <w:r>
        <w:rPr>
          <w:rFonts w:hint="eastAsia" w:ascii="Times New Roman" w:hAnsi="Times New Roman" w:eastAsia="仿宋_GB2312"/>
          <w:color w:val="000000" w:themeColor="text1"/>
          <w:sz w:val="28"/>
          <w:szCs w:val="28"/>
          <w14:textFill>
            <w14:solidFill>
              <w14:schemeClr w14:val="tx1"/>
            </w14:solidFill>
          </w14:textFill>
        </w:rPr>
        <w:t>，</w:t>
      </w:r>
      <w:r>
        <w:rPr>
          <w:rFonts w:ascii="Times New Roman" w:hAnsi="Times New Roman" w:eastAsia="仿宋_GB2312"/>
          <w:color w:val="000000" w:themeColor="text1"/>
          <w:sz w:val="28"/>
          <w:szCs w:val="28"/>
          <w14:textFill>
            <w14:solidFill>
              <w14:schemeClr w14:val="tx1"/>
            </w14:solidFill>
          </w14:textFill>
        </w:rPr>
        <w:t>制定</w:t>
      </w:r>
      <w:r>
        <w:rPr>
          <w:rFonts w:hint="eastAsia" w:ascii="Times New Roman" w:hAnsi="Times New Roman" w:eastAsia="仿宋_GB2312"/>
          <w:color w:val="000000" w:themeColor="text1"/>
          <w:sz w:val="28"/>
          <w:szCs w:val="28"/>
          <w14:textFill>
            <w14:solidFill>
              <w14:schemeClr w14:val="tx1"/>
            </w14:solidFill>
          </w14:textFill>
        </w:rPr>
        <w:t>质量监督安全管理条例或办法，加强工程质量安全监管，落实工程质量终身责任制。加大激励力度，</w:t>
      </w:r>
      <w:r>
        <w:rPr>
          <w:rFonts w:ascii="Times New Roman" w:hAnsi="Times New Roman" w:eastAsia="仿宋_GB2312"/>
          <w:color w:val="000000" w:themeColor="text1"/>
          <w:sz w:val="28"/>
          <w:szCs w:val="28"/>
          <w14:textFill>
            <w14:solidFill>
              <w14:schemeClr w14:val="tx1"/>
            </w14:solidFill>
          </w14:textFill>
        </w:rPr>
        <w:t>保障</w:t>
      </w:r>
      <w:r>
        <w:rPr>
          <w:rFonts w:hint="eastAsia" w:ascii="Times New Roman" w:hAnsi="Times New Roman" w:eastAsia="仿宋_GB2312"/>
          <w:color w:val="000000" w:themeColor="text1"/>
          <w:sz w:val="28"/>
          <w:szCs w:val="28"/>
          <w14:textFill>
            <w14:solidFill>
              <w14:schemeClr w14:val="tx1"/>
            </w14:solidFill>
          </w14:textFill>
        </w:rPr>
        <w:t>装配式建筑顺利推广实施；鼓励企业搭建装配式建筑项目管理信息系统，建立健全建设全过程质量追溯管理制度，形成有政策、</w:t>
      </w:r>
      <w:r>
        <w:rPr>
          <w:rFonts w:ascii="Times New Roman" w:hAnsi="Times New Roman" w:eastAsia="仿宋_GB2312"/>
          <w:color w:val="000000" w:themeColor="text1"/>
          <w:sz w:val="28"/>
          <w:szCs w:val="28"/>
          <w14:textFill>
            <w14:solidFill>
              <w14:schemeClr w14:val="tx1"/>
            </w14:solidFill>
          </w14:textFill>
        </w:rPr>
        <w:t>有</w:t>
      </w:r>
      <w:r>
        <w:rPr>
          <w:rFonts w:hint="eastAsia" w:ascii="Times New Roman" w:hAnsi="Times New Roman" w:eastAsia="仿宋_GB2312"/>
          <w:color w:val="000000" w:themeColor="text1"/>
          <w:sz w:val="28"/>
          <w:szCs w:val="28"/>
          <w14:textFill>
            <w14:solidFill>
              <w14:schemeClr w14:val="tx1"/>
            </w14:solidFill>
          </w14:textFill>
        </w:rPr>
        <w:t>流程、</w:t>
      </w:r>
      <w:r>
        <w:rPr>
          <w:rFonts w:ascii="Times New Roman" w:hAnsi="Times New Roman" w:eastAsia="仿宋_GB2312"/>
          <w:color w:val="000000" w:themeColor="text1"/>
          <w:sz w:val="28"/>
          <w:szCs w:val="28"/>
          <w14:textFill>
            <w14:solidFill>
              <w14:schemeClr w14:val="tx1"/>
            </w14:solidFill>
          </w14:textFill>
        </w:rPr>
        <w:t>有</w:t>
      </w:r>
      <w:r>
        <w:rPr>
          <w:rFonts w:hint="eastAsia" w:ascii="Times New Roman" w:hAnsi="Times New Roman" w:eastAsia="仿宋_GB2312"/>
          <w:color w:val="000000" w:themeColor="text1"/>
          <w:sz w:val="28"/>
          <w:szCs w:val="28"/>
          <w14:textFill>
            <w14:solidFill>
              <w14:schemeClr w14:val="tx1"/>
            </w14:solidFill>
          </w14:textFill>
        </w:rPr>
        <w:t>监督的闭合工作机制。</w:t>
      </w:r>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bookmarkStart w:id="77" w:name="_Toc509571582"/>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（二）统筹区域总体规划，逐步推广装配式建筑</w:t>
      </w:r>
      <w:bookmarkEnd w:id="77"/>
    </w:p>
    <w:p>
      <w:pPr>
        <w:ind w:firstLine="560" w:firstLineChars="20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统筹兼顾五指山市</w:t>
      </w:r>
      <w:r>
        <w:rPr>
          <w:rFonts w:hint="eastAsia" w:ascii="Times New Roman" w:hAnsi="Times New Roman" w:eastAsia="仿宋_GB2312"/>
          <w:color w:val="000000" w:themeColor="text1"/>
          <w:sz w:val="28"/>
          <w:szCs w:val="28"/>
          <w:lang w:eastAsia="zh-CN"/>
          <w14:textFill>
            <w14:solidFill>
              <w14:schemeClr w14:val="tx1"/>
            </w14:solidFill>
          </w14:textFill>
        </w:rPr>
        <w:t>生态保护区、</w:t>
      </w:r>
      <w:r>
        <w:rPr>
          <w:rFonts w:hint="eastAsia" w:ascii="Times New Roman" w:hAnsi="Times New Roman" w:eastAsia="仿宋_GB2312"/>
          <w:color w:val="000000" w:themeColor="text1"/>
          <w:sz w:val="28"/>
          <w:szCs w:val="28"/>
          <w14:textFill>
            <w14:solidFill>
              <w14:schemeClr w14:val="tx1"/>
            </w14:solidFill>
          </w14:textFill>
        </w:rPr>
        <w:t>生态旅游区、特色小镇、主城区等区域总体规划要求、经济发展水平和资源禀赋，落实整体规划空间发展战略，分时间、分区域、有侧重的逐步推进装配式建筑的发展，采取以点带面、协调联动的发展方式。</w:t>
      </w:r>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bookmarkStart w:id="78" w:name="_Toc509571583"/>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（三）科学测算产能需求，满足长效发展</w:t>
      </w:r>
      <w:bookmarkEnd w:id="78"/>
      <w:r>
        <w:rPr>
          <w:rFonts w:hint="eastAsia" w:ascii="楷体_GB2312" w:hAnsi="楷体_GB2312" w:eastAsia="楷体_GB2312" w:cs="楷体_GB2312"/>
          <w:b w:val="0"/>
          <w:bCs/>
          <w:color w:val="000000" w:themeColor="text1"/>
          <w:sz w:val="28"/>
          <w:szCs w:val="28"/>
          <w14:textFill>
            <w14:solidFill>
              <w14:schemeClr w14:val="tx1"/>
            </w14:solidFill>
          </w14:textFill>
        </w:rPr>
        <w:t>机制</w:t>
      </w:r>
    </w:p>
    <w:p>
      <w:pPr>
        <w:ind w:firstLine="560" w:firstLineChars="20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预测本市装配式建筑发展状况，科学测算对应的产能需求，提早进行规划部署，积极促进装配式建筑项目落地，满足本市装配式建筑发展的需要。</w:t>
      </w:r>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（四）突出民族风情，打造装配式建筑亮点</w:t>
      </w:r>
    </w:p>
    <w:p>
      <w:pPr>
        <w:spacing w:line="360" w:lineRule="auto"/>
        <w:ind w:firstLine="560" w:firstLineChars="200"/>
        <w:outlineLvl w:val="2"/>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充分利用长期以来五指山市作为黎苗少数民族政治、经济和文化中心地位和丰富的民族文化资源，通过挖掘、保护、整合、开发等手段将民族风情融入装配式建筑，打造具有五指山地域特色的装配式建筑亮点，将五指山市建设成为国内独具特色的黎苗历史文化、建筑文化等多元文化形态于一体的传统文化产业聚集区。</w:t>
      </w:r>
    </w:p>
    <w:p>
      <w:pPr>
        <w:ind w:firstLine="560" w:firstLineChars="200"/>
        <w:rPr>
          <w:rFonts w:ascii="Times New Roman" w:hAnsi="Times New Roman" w:eastAsia="仿宋_GB2312"/>
          <w:color w:val="000000" w:themeColor="text1"/>
          <w:sz w:val="28"/>
          <w:szCs w:val="28"/>
          <w14:textFill>
            <w14:solidFill>
              <w14:schemeClr w14:val="tx1"/>
            </w14:solidFill>
          </w14:textFill>
        </w:rPr>
      </w:pPr>
    </w:p>
    <w:bookmarkEnd w:id="66"/>
    <w:p>
      <w:pPr>
        <w:pStyle w:val="2"/>
        <w:jc w:val="center"/>
        <w:rPr>
          <w:rFonts w:ascii="Times New Roman" w:hAnsi="Times New Roman" w:eastAsia="黑体" w:cs="黑体"/>
          <w:color w:val="000000" w:themeColor="text1"/>
          <w:sz w:val="32"/>
          <w:szCs w:val="32"/>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bookmarkStart w:id="79" w:name="_Toc23519"/>
    </w:p>
    <w:p>
      <w:pPr>
        <w:pStyle w:val="2"/>
        <w:jc w:val="center"/>
        <w:rPr>
          <w:rFonts w:ascii="Times New Roman" w:hAnsi="Times New Roman" w:eastAsia="黑体" w:cs="黑体"/>
          <w:color w:val="000000" w:themeColor="text1"/>
          <w:sz w:val="32"/>
          <w:szCs w:val="32"/>
          <w14:textFill>
            <w14:solidFill>
              <w14:schemeClr w14:val="tx1"/>
            </w14:solidFill>
          </w14:textFill>
        </w:rPr>
      </w:pPr>
      <w:bookmarkStart w:id="80" w:name="_Toc529282345"/>
      <w:bookmarkStart w:id="81" w:name="_Toc6199"/>
      <w:r>
        <w:rPr>
          <w:rFonts w:hint="eastAsia" w:ascii="Times New Roman" w:hAnsi="Times New Roman" w:eastAsia="黑体" w:cs="黑体"/>
          <w:color w:val="000000" w:themeColor="text1"/>
          <w:sz w:val="32"/>
          <w:szCs w:val="32"/>
          <w14:textFill>
            <w14:solidFill>
              <w14:schemeClr w14:val="tx1"/>
            </w14:solidFill>
          </w14:textFill>
        </w:rPr>
        <w:t>第五章 主要任务</w:t>
      </w:r>
      <w:bookmarkEnd w:id="79"/>
      <w:bookmarkEnd w:id="80"/>
      <w:bookmarkEnd w:id="81"/>
    </w:p>
    <w:p>
      <w:pPr>
        <w:pStyle w:val="3"/>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82" w:name="_Toc529282346"/>
      <w:bookmarkStart w:id="83" w:name="_Toc11219"/>
      <w:bookmarkStart w:id="84" w:name="_Toc30037"/>
      <w:r>
        <w:rPr>
          <w:rFonts w:hint="eastAsia" w:ascii="Times New Roman" w:hAnsi="Times New Roman" w:eastAsia="黑体"/>
          <w:b w:val="0"/>
          <w:bCs w:val="0"/>
          <w:color w:val="000000" w:themeColor="text1"/>
          <w:sz w:val="30"/>
          <w:szCs w:val="30"/>
          <w14:textFill>
            <w14:solidFill>
              <w14:schemeClr w14:val="tx1"/>
            </w14:solidFill>
          </w14:textFill>
        </w:rPr>
        <w:t>一、目标落实</w:t>
      </w:r>
      <w:bookmarkEnd w:id="82"/>
      <w:bookmarkEnd w:id="83"/>
    </w:p>
    <w:p>
      <w:pPr>
        <w:spacing w:line="360" w:lineRule="auto"/>
        <w:ind w:firstLine="700" w:firstLineChars="250"/>
        <w:rPr>
          <w:rFonts w:ascii="Times New Roman" w:hAnsi="Times New Roman" w:eastAsia="仿宋_GB2312" w:cs="Times New Roman"/>
          <w:b/>
          <w:bCs/>
          <w:color w:val="000000" w:themeColor="text1"/>
          <w:sz w:val="28"/>
          <w:szCs w:val="24"/>
          <w14:textFill>
            <w14:solidFill>
              <w14:schemeClr w14:val="tx1"/>
            </w14:solidFill>
          </w14:textFill>
        </w:rPr>
      </w:pPr>
      <w:r>
        <w:rPr>
          <w:rFonts w:hint="eastAsia" w:ascii="Times New Roman" w:hAnsi="Times New Roman" w:eastAsia="仿宋_GB2312" w:cs="仿宋_GB2312"/>
          <w:color w:val="000000" w:themeColor="text1"/>
          <w:kern w:val="0"/>
          <w:sz w:val="28"/>
          <w:szCs w:val="28"/>
          <w14:textFill>
            <w14:solidFill>
              <w14:schemeClr w14:val="tx1"/>
            </w14:solidFill>
          </w14:textFill>
        </w:rPr>
        <w:t>为了达到《海南省人民政府关于大力发展装配式建筑的实施意见》的要求，实现五指山市装配式建筑的有序发展，五指山市装配式建筑发展目标落实从时间上拟分为三个阶段，分别为示范先行阶段、试点推广阶段和全面推广阶段；从空间上，确立五指山市主城区为示范区，由示范区向四周扩散，全市统筹推进装配式建筑建设发展。</w:t>
      </w:r>
    </w:p>
    <w:p>
      <w:pPr>
        <w:spacing w:line="360" w:lineRule="auto"/>
        <w:outlineLvl w:val="2"/>
        <w:rPr>
          <w:rFonts w:hint="eastAsia" w:ascii="楷体_GB2312" w:hAnsi="楷体_GB2312" w:eastAsia="楷体_GB2312" w:cs="楷体_GB2312"/>
          <w:b w:val="0"/>
          <w:bCs/>
          <w:sz w:val="28"/>
          <w:szCs w:val="28"/>
        </w:rPr>
      </w:pPr>
      <w:r>
        <w:rPr>
          <w:rFonts w:hint="eastAsia" w:ascii="楷体_GB2312" w:hAnsi="楷体_GB2312" w:eastAsia="楷体_GB2312" w:cs="楷体_GB2312"/>
          <w:b w:val="0"/>
          <w:bCs/>
          <w:sz w:val="28"/>
          <w:szCs w:val="28"/>
          <w:lang w:val="en-US" w:eastAsia="zh-CN"/>
        </w:rPr>
        <w:t xml:space="preserve">    </w:t>
      </w:r>
      <w:r>
        <w:rPr>
          <w:rFonts w:hint="eastAsia" w:ascii="楷体_GB2312" w:hAnsi="楷体_GB2312" w:eastAsia="楷体_GB2312" w:cs="楷体_GB2312"/>
          <w:b w:val="0"/>
          <w:bCs/>
          <w:sz w:val="28"/>
          <w:szCs w:val="28"/>
        </w:rPr>
        <w:t>（一）统筹布局</w:t>
      </w:r>
    </w:p>
    <w:p>
      <w:pPr>
        <w:spacing w:line="360" w:lineRule="auto"/>
        <w:ind w:firstLine="600"/>
        <w:rPr>
          <w:rFonts w:ascii="Times New Roman" w:hAnsi="Times New Roman" w:eastAsia="仿宋_GB2312" w:cs="仿宋_GB2312"/>
          <w:kern w:val="0"/>
          <w:sz w:val="28"/>
          <w:szCs w:val="28"/>
        </w:rPr>
      </w:pPr>
      <w:r>
        <w:rPr>
          <w:rFonts w:hint="eastAsia" w:ascii="Times New Roman" w:hAnsi="Times New Roman" w:eastAsia="仿宋_GB2312" w:cs="仿宋_GB2312"/>
          <w:kern w:val="0"/>
          <w:sz w:val="28"/>
          <w:szCs w:val="28"/>
        </w:rPr>
        <w:t>2018年，完善装配式建筑发展顶层设计。完成《海南省人民政府关于大力发展装配式建筑的实施意见》配套实施文件，制定联席会议制度和任务分工；对2018年新立项的建筑项目进行全面摸底，鼓励政府投资项目进行装配式建筑建设探索，合理预测2019年政府投资项目情况，为装配式建筑发展打下良好基础；对建筑项目从立项到施工完成各阶段管理流程进行梳理，制定全过程闭合监管机制；各部门根据工作实际情况对激励政策进行研究，制定适宜本地的激励政策；积极组织政府相关部门、建筑业企业、从业人员参加省内、国内大型装配式建筑相关培训，提高专业认知和技术能力。</w:t>
      </w:r>
    </w:p>
    <w:p>
      <w:pPr>
        <w:spacing w:line="360" w:lineRule="auto"/>
        <w:outlineLvl w:val="2"/>
        <w:rPr>
          <w:rFonts w:hint="eastAsia" w:ascii="楷体_GB2312" w:hAnsi="楷体_GB2312" w:eastAsia="楷体_GB2312" w:cs="楷体_GB2312"/>
          <w:b w:val="0"/>
          <w:bCs/>
          <w:color w:val="000000" w:themeColor="text1"/>
          <w:kern w:val="0"/>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（二）示范先行</w:t>
      </w:r>
    </w:p>
    <w:p>
      <w:pPr>
        <w:spacing w:line="360" w:lineRule="auto"/>
        <w:ind w:firstLine="600"/>
        <w:rPr>
          <w:rFonts w:ascii="Times New Roman" w:hAnsi="Times New Roman" w:eastAsia="仿宋_GB2312" w:cs="仿宋_GB2312"/>
          <w:color w:val="000000" w:themeColor="text1"/>
          <w:kern w:val="0"/>
          <w:sz w:val="28"/>
          <w:szCs w:val="28"/>
          <w14:textFill>
            <w14:solidFill>
              <w14:schemeClr w14:val="tx1"/>
            </w14:solidFill>
          </w14:textFill>
        </w:rPr>
      </w:pPr>
      <w:r>
        <w:rPr>
          <w:rFonts w:hint="eastAsia" w:ascii="Times New Roman" w:hAnsi="Times New Roman" w:eastAsia="仿宋_GB2312" w:cs="仿宋_GB2312"/>
          <w:color w:val="000000" w:themeColor="text1"/>
          <w:kern w:val="0"/>
          <w:sz w:val="28"/>
          <w:szCs w:val="28"/>
          <w14:textFill>
            <w14:solidFill>
              <w14:schemeClr w14:val="tx1"/>
            </w14:solidFill>
          </w14:textFill>
        </w:rPr>
        <w:t>从</w:t>
      </w:r>
      <w:r>
        <w:rPr>
          <w:rFonts w:ascii="Times New Roman" w:hAnsi="Times New Roman" w:eastAsia="仿宋_GB2312" w:cs="仿宋_GB2312"/>
          <w:color w:val="000000" w:themeColor="text1"/>
          <w:kern w:val="0"/>
          <w:sz w:val="28"/>
          <w:szCs w:val="28"/>
          <w14:textFill>
            <w14:solidFill>
              <w14:schemeClr w14:val="tx1"/>
            </w14:solidFill>
          </w14:textFill>
        </w:rPr>
        <w:t>2019</w:t>
      </w:r>
      <w:r>
        <w:rPr>
          <w:rFonts w:hint="eastAsia" w:ascii="Times New Roman" w:hAnsi="Times New Roman" w:eastAsia="仿宋_GB2312" w:cs="仿宋_GB2312"/>
          <w:color w:val="000000" w:themeColor="text1"/>
          <w:kern w:val="0"/>
          <w:sz w:val="28"/>
          <w:szCs w:val="28"/>
          <w14:textFill>
            <w14:solidFill>
              <w14:schemeClr w14:val="tx1"/>
            </w14:solidFill>
          </w14:textFill>
        </w:rPr>
        <w:t>年起，以五指山市主城区为示范区 ，先行开展装配式建筑示范。对于示范区内</w:t>
      </w:r>
      <w:r>
        <w:rPr>
          <w:rFonts w:ascii="Times New Roman" w:hAnsi="Times New Roman" w:eastAsia="仿宋_GB2312" w:cs="仿宋_GB2312"/>
          <w:color w:val="000000" w:themeColor="text1"/>
          <w:kern w:val="0"/>
          <w:sz w:val="28"/>
          <w:szCs w:val="28"/>
          <w14:textFill>
            <w14:solidFill>
              <w14:schemeClr w14:val="tx1"/>
            </w14:solidFill>
          </w14:textFill>
        </w:rPr>
        <w:t>2019</w:t>
      </w:r>
      <w:r>
        <w:rPr>
          <w:rFonts w:hint="eastAsia" w:ascii="Times New Roman" w:hAnsi="Times New Roman" w:eastAsia="仿宋_GB2312" w:cs="仿宋_GB2312"/>
          <w:color w:val="000000" w:themeColor="text1"/>
          <w:kern w:val="0"/>
          <w:sz w:val="28"/>
          <w:szCs w:val="28"/>
          <w14:textFill>
            <w14:solidFill>
              <w14:schemeClr w14:val="tx1"/>
            </w14:solidFill>
          </w14:textFill>
        </w:rPr>
        <w:t>年新立项的政府投资的新建公共建筑、保障性住房以及社会投资的总建筑面积</w:t>
      </w:r>
      <w:r>
        <w:rPr>
          <w:rFonts w:ascii="Times New Roman" w:hAnsi="Times New Roman" w:eastAsia="仿宋_GB2312" w:cs="仿宋_GB2312"/>
          <w:color w:val="000000" w:themeColor="text1"/>
          <w:kern w:val="0"/>
          <w:sz w:val="28"/>
          <w:szCs w:val="28"/>
          <w14:textFill>
            <w14:solidFill>
              <w14:schemeClr w14:val="tx1"/>
            </w14:solidFill>
          </w14:textFill>
        </w:rPr>
        <w:t>10</w:t>
      </w:r>
      <w:r>
        <w:rPr>
          <w:rFonts w:hint="eastAsia" w:ascii="Times New Roman" w:hAnsi="Times New Roman" w:eastAsia="仿宋_GB2312" w:cs="仿宋_GB2312"/>
          <w:color w:val="000000" w:themeColor="text1"/>
          <w:kern w:val="0"/>
          <w:sz w:val="28"/>
          <w:szCs w:val="28"/>
          <w14:textFill>
            <w14:solidFill>
              <w14:schemeClr w14:val="tx1"/>
            </w14:solidFill>
          </w14:textFill>
        </w:rPr>
        <w:t>万平方米以上的新建商品住宅项目和总建筑面积</w:t>
      </w:r>
      <w:r>
        <w:rPr>
          <w:rFonts w:ascii="Times New Roman" w:hAnsi="Times New Roman" w:eastAsia="仿宋_GB2312" w:cs="仿宋_GB2312"/>
          <w:color w:val="000000" w:themeColor="text1"/>
          <w:kern w:val="0"/>
          <w:sz w:val="28"/>
          <w:szCs w:val="28"/>
          <w14:textFill>
            <w14:solidFill>
              <w14:schemeClr w14:val="tx1"/>
            </w14:solidFill>
          </w14:textFill>
        </w:rPr>
        <w:t>3</w:t>
      </w:r>
      <w:r>
        <w:rPr>
          <w:rFonts w:hint="eastAsia" w:ascii="Times New Roman" w:hAnsi="Times New Roman" w:eastAsia="仿宋_GB2312" w:cs="仿宋_GB2312"/>
          <w:color w:val="000000" w:themeColor="text1"/>
          <w:kern w:val="0"/>
          <w:sz w:val="28"/>
          <w:szCs w:val="28"/>
          <w14:textFill>
            <w14:solidFill>
              <w14:schemeClr w14:val="tx1"/>
            </w14:solidFill>
          </w14:textFill>
        </w:rPr>
        <w:t>万平方米以上或单体建筑面积</w:t>
      </w:r>
      <w:r>
        <w:rPr>
          <w:rFonts w:ascii="Times New Roman" w:hAnsi="Times New Roman" w:eastAsia="仿宋_GB2312" w:cs="仿宋_GB2312"/>
          <w:color w:val="000000" w:themeColor="text1"/>
          <w:kern w:val="0"/>
          <w:sz w:val="28"/>
          <w:szCs w:val="28"/>
          <w14:textFill>
            <w14:solidFill>
              <w14:schemeClr w14:val="tx1"/>
            </w14:solidFill>
          </w14:textFill>
        </w:rPr>
        <w:t>2</w:t>
      </w:r>
      <w:r>
        <w:rPr>
          <w:rFonts w:hint="eastAsia" w:ascii="Times New Roman" w:hAnsi="Times New Roman" w:eastAsia="仿宋_GB2312" w:cs="仿宋_GB2312"/>
          <w:color w:val="000000" w:themeColor="text1"/>
          <w:kern w:val="0"/>
          <w:sz w:val="28"/>
          <w:szCs w:val="28"/>
          <w14:textFill>
            <w14:solidFill>
              <w14:schemeClr w14:val="tx1"/>
            </w14:solidFill>
          </w14:textFill>
        </w:rPr>
        <w:t>万平方米以上的新建商业、办公、宾馆等公共建筑项目，具备条件的全部采用装配式方式建造。</w:t>
      </w:r>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（三）重点推进</w:t>
      </w:r>
    </w:p>
    <w:p>
      <w:pPr>
        <w:spacing w:line="360" w:lineRule="auto"/>
        <w:ind w:firstLine="600"/>
        <w:rPr>
          <w:rFonts w:ascii="Times New Roman" w:hAnsi="Times New Roman" w:eastAsia="仿宋_GB2312" w:cs="仿宋_GB2312"/>
          <w:color w:val="000000" w:themeColor="text1"/>
          <w:kern w:val="0"/>
          <w:sz w:val="28"/>
          <w:szCs w:val="28"/>
          <w14:textFill>
            <w14:solidFill>
              <w14:schemeClr w14:val="tx1"/>
            </w14:solidFill>
          </w14:textFill>
        </w:rPr>
      </w:pPr>
      <w:r>
        <w:rPr>
          <w:rFonts w:hint="eastAsia" w:ascii="Times New Roman" w:hAnsi="Times New Roman" w:eastAsia="仿宋_GB2312" w:cs="仿宋_GB2312"/>
          <w:color w:val="000000" w:themeColor="text1"/>
          <w:kern w:val="0"/>
          <w:sz w:val="28"/>
          <w:szCs w:val="28"/>
          <w14:textFill>
            <w14:solidFill>
              <w14:schemeClr w14:val="tx1"/>
            </w14:solidFill>
          </w14:textFill>
        </w:rPr>
        <w:t>到</w:t>
      </w:r>
      <w:r>
        <w:rPr>
          <w:rFonts w:ascii="Times New Roman" w:hAnsi="Times New Roman" w:eastAsia="仿宋_GB2312" w:cs="仿宋_GB2312"/>
          <w:color w:val="000000" w:themeColor="text1"/>
          <w:kern w:val="0"/>
          <w:sz w:val="28"/>
          <w:szCs w:val="28"/>
          <w14:textFill>
            <w14:solidFill>
              <w14:schemeClr w14:val="tx1"/>
            </w14:solidFill>
          </w14:textFill>
        </w:rPr>
        <w:t>2020</w:t>
      </w:r>
      <w:r>
        <w:rPr>
          <w:rFonts w:hint="eastAsia" w:ascii="Times New Roman" w:hAnsi="Times New Roman" w:eastAsia="仿宋_GB2312" w:cs="仿宋_GB2312"/>
          <w:color w:val="000000" w:themeColor="text1"/>
          <w:kern w:val="0"/>
          <w:sz w:val="28"/>
          <w:szCs w:val="28"/>
          <w14:textFill>
            <w14:solidFill>
              <w14:schemeClr w14:val="tx1"/>
            </w14:solidFill>
          </w14:textFill>
        </w:rPr>
        <w:t>年，全市新立项的政府投资的新建公共建筑、保障性住房以及社会投资的总建筑面积</w:t>
      </w:r>
      <w:r>
        <w:rPr>
          <w:rFonts w:ascii="Times New Roman" w:hAnsi="Times New Roman" w:eastAsia="仿宋_GB2312" w:cs="仿宋_GB2312"/>
          <w:color w:val="000000" w:themeColor="text1"/>
          <w:kern w:val="0"/>
          <w:sz w:val="28"/>
          <w:szCs w:val="28"/>
          <w14:textFill>
            <w14:solidFill>
              <w14:schemeClr w14:val="tx1"/>
            </w14:solidFill>
          </w14:textFill>
        </w:rPr>
        <w:t>10</w:t>
      </w:r>
      <w:r>
        <w:rPr>
          <w:rFonts w:hint="eastAsia" w:ascii="Times New Roman" w:hAnsi="Times New Roman" w:eastAsia="仿宋_GB2312" w:cs="仿宋_GB2312"/>
          <w:color w:val="000000" w:themeColor="text1"/>
          <w:kern w:val="0"/>
          <w:sz w:val="28"/>
          <w:szCs w:val="28"/>
          <w14:textFill>
            <w14:solidFill>
              <w14:schemeClr w14:val="tx1"/>
            </w14:solidFill>
          </w14:textFill>
        </w:rPr>
        <w:t>万平方米以上的新建商品住宅项目和总建筑面积</w:t>
      </w:r>
      <w:r>
        <w:rPr>
          <w:rFonts w:ascii="Times New Roman" w:hAnsi="Times New Roman" w:eastAsia="仿宋_GB2312" w:cs="仿宋_GB2312"/>
          <w:color w:val="000000" w:themeColor="text1"/>
          <w:kern w:val="0"/>
          <w:sz w:val="28"/>
          <w:szCs w:val="28"/>
          <w14:textFill>
            <w14:solidFill>
              <w14:schemeClr w14:val="tx1"/>
            </w14:solidFill>
          </w14:textFill>
        </w:rPr>
        <w:t>3</w:t>
      </w:r>
      <w:r>
        <w:rPr>
          <w:rFonts w:hint="eastAsia" w:ascii="Times New Roman" w:hAnsi="Times New Roman" w:eastAsia="仿宋_GB2312" w:cs="仿宋_GB2312"/>
          <w:color w:val="000000" w:themeColor="text1"/>
          <w:kern w:val="0"/>
          <w:sz w:val="28"/>
          <w:szCs w:val="28"/>
          <w14:textFill>
            <w14:solidFill>
              <w14:schemeClr w14:val="tx1"/>
            </w14:solidFill>
          </w14:textFill>
        </w:rPr>
        <w:t>万平方米以上或单体建筑面积</w:t>
      </w:r>
      <w:r>
        <w:rPr>
          <w:rFonts w:ascii="Times New Roman" w:hAnsi="Times New Roman" w:eastAsia="仿宋_GB2312" w:cs="仿宋_GB2312"/>
          <w:color w:val="000000" w:themeColor="text1"/>
          <w:kern w:val="0"/>
          <w:sz w:val="28"/>
          <w:szCs w:val="28"/>
          <w14:textFill>
            <w14:solidFill>
              <w14:schemeClr w14:val="tx1"/>
            </w14:solidFill>
          </w14:textFill>
        </w:rPr>
        <w:t>2</w:t>
      </w:r>
      <w:r>
        <w:rPr>
          <w:rFonts w:hint="eastAsia" w:ascii="Times New Roman" w:hAnsi="Times New Roman" w:eastAsia="仿宋_GB2312" w:cs="仿宋_GB2312"/>
          <w:color w:val="000000" w:themeColor="text1"/>
          <w:kern w:val="0"/>
          <w:sz w:val="28"/>
          <w:szCs w:val="28"/>
          <w14:textFill>
            <w14:solidFill>
              <w14:schemeClr w14:val="tx1"/>
            </w14:solidFill>
          </w14:textFill>
        </w:rPr>
        <w:t>万平方米以上的新建商业、办公、宾馆等公共建筑项目，具备条件的全部采用装配式方式建造。</w:t>
      </w:r>
    </w:p>
    <w:p>
      <w:pPr>
        <w:tabs>
          <w:tab w:val="center" w:pos="4153"/>
        </w:tabs>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（四）试点推广</w:t>
      </w:r>
    </w:p>
    <w:p>
      <w:pPr>
        <w:spacing w:line="360" w:lineRule="auto"/>
        <w:ind w:firstLine="600"/>
        <w:rPr>
          <w:rFonts w:ascii="Times New Roman" w:hAnsi="Times New Roman" w:eastAsia="仿宋_GB2312" w:cs="仿宋_GB2312"/>
          <w:color w:val="000000" w:themeColor="text1"/>
          <w:kern w:val="0"/>
          <w:sz w:val="28"/>
          <w:szCs w:val="28"/>
          <w14:textFill>
            <w14:solidFill>
              <w14:schemeClr w14:val="tx1"/>
            </w14:solidFill>
          </w14:textFill>
        </w:rPr>
      </w:pPr>
      <w:r>
        <w:rPr>
          <w:rFonts w:hint="eastAsia" w:ascii="Times New Roman" w:hAnsi="Times New Roman" w:eastAsia="仿宋_GB2312" w:cs="仿宋_GB2312"/>
          <w:color w:val="000000" w:themeColor="text1"/>
          <w:kern w:val="0"/>
          <w:sz w:val="28"/>
          <w:szCs w:val="28"/>
          <w14:textFill>
            <w14:solidFill>
              <w14:schemeClr w14:val="tx1"/>
            </w14:solidFill>
          </w14:textFill>
        </w:rPr>
        <w:t>到</w:t>
      </w:r>
      <w:r>
        <w:rPr>
          <w:rFonts w:ascii="Times New Roman" w:hAnsi="Times New Roman" w:eastAsia="仿宋_GB2312" w:cs="仿宋_GB2312"/>
          <w:color w:val="000000" w:themeColor="text1"/>
          <w:kern w:val="0"/>
          <w:sz w:val="28"/>
          <w:szCs w:val="28"/>
          <w14:textFill>
            <w14:solidFill>
              <w14:schemeClr w14:val="tx1"/>
            </w14:solidFill>
          </w14:textFill>
        </w:rPr>
        <w:t>2021</w:t>
      </w:r>
      <w:r>
        <w:rPr>
          <w:rFonts w:hint="eastAsia" w:ascii="Times New Roman" w:hAnsi="Times New Roman" w:eastAsia="仿宋_GB2312" w:cs="仿宋_GB2312"/>
          <w:color w:val="000000" w:themeColor="text1"/>
          <w:kern w:val="0"/>
          <w:sz w:val="28"/>
          <w:szCs w:val="28"/>
          <w14:textFill>
            <w14:solidFill>
              <w14:schemeClr w14:val="tx1"/>
            </w14:solidFill>
          </w14:textFill>
        </w:rPr>
        <w:t>年，对于示范区（五指山市主城区）内新立项的所有项目，具备条件的</w:t>
      </w:r>
      <w:r>
        <w:rPr>
          <w:rFonts w:ascii="Times New Roman" w:hAnsi="Times New Roman" w:eastAsia="仿宋_GB2312" w:cs="仿宋_GB2312"/>
          <w:color w:val="000000" w:themeColor="text1"/>
          <w:kern w:val="0"/>
          <w:sz w:val="28"/>
          <w:szCs w:val="28"/>
          <w14:textFill>
            <w14:solidFill>
              <w14:schemeClr w14:val="tx1"/>
            </w14:solidFill>
          </w14:textFill>
        </w:rPr>
        <w:t>原则</w:t>
      </w:r>
      <w:r>
        <w:rPr>
          <w:rFonts w:hint="eastAsia" w:ascii="Times New Roman" w:hAnsi="Times New Roman" w:eastAsia="仿宋_GB2312" w:cs="仿宋_GB2312"/>
          <w:color w:val="000000" w:themeColor="text1"/>
          <w:kern w:val="0"/>
          <w:sz w:val="28"/>
          <w:szCs w:val="28"/>
          <w14:textFill>
            <w14:solidFill>
              <w14:schemeClr w14:val="tx1"/>
            </w14:solidFill>
          </w14:textFill>
        </w:rPr>
        <w:t>上全部采用装配式方式建造。</w:t>
      </w:r>
    </w:p>
    <w:p>
      <w:pPr>
        <w:tabs>
          <w:tab w:val="center" w:pos="4153"/>
        </w:tabs>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（五）全面执行</w:t>
      </w:r>
    </w:p>
    <w:p>
      <w:pPr>
        <w:spacing w:line="360" w:lineRule="auto"/>
        <w:ind w:firstLine="600"/>
        <w:rPr>
          <w:rFonts w:ascii="Times New Roman" w:hAnsi="Times New Roman" w:eastAsia="仿宋_GB2312" w:cs="仿宋_GB2312"/>
          <w:color w:val="000000" w:themeColor="text1"/>
          <w:kern w:val="0"/>
          <w:sz w:val="28"/>
          <w:szCs w:val="28"/>
          <w14:textFill>
            <w14:solidFill>
              <w14:schemeClr w14:val="tx1"/>
            </w14:solidFill>
          </w14:textFill>
        </w:rPr>
      </w:pPr>
      <w:r>
        <w:rPr>
          <w:rFonts w:hint="eastAsia" w:ascii="Times New Roman" w:hAnsi="Times New Roman" w:eastAsia="仿宋_GB2312" w:cs="仿宋_GB2312"/>
          <w:color w:val="000000" w:themeColor="text1"/>
          <w:kern w:val="0"/>
          <w:sz w:val="28"/>
          <w:szCs w:val="28"/>
          <w14:textFill>
            <w14:solidFill>
              <w14:schemeClr w14:val="tx1"/>
            </w14:solidFill>
          </w14:textFill>
        </w:rPr>
        <w:t>到</w:t>
      </w:r>
      <w:r>
        <w:rPr>
          <w:rFonts w:ascii="Times New Roman" w:hAnsi="Times New Roman" w:eastAsia="仿宋_GB2312" w:cs="仿宋_GB2312"/>
          <w:color w:val="000000" w:themeColor="text1"/>
          <w:kern w:val="0"/>
          <w:sz w:val="28"/>
          <w:szCs w:val="28"/>
          <w14:textFill>
            <w14:solidFill>
              <w14:schemeClr w14:val="tx1"/>
            </w14:solidFill>
          </w14:textFill>
        </w:rPr>
        <w:t>2022</w:t>
      </w:r>
      <w:r>
        <w:rPr>
          <w:rFonts w:hint="eastAsia" w:ascii="Times New Roman" w:hAnsi="Times New Roman" w:eastAsia="仿宋_GB2312" w:cs="仿宋_GB2312"/>
          <w:color w:val="000000" w:themeColor="text1"/>
          <w:kern w:val="0"/>
          <w:sz w:val="28"/>
          <w:szCs w:val="28"/>
          <w14:textFill>
            <w14:solidFill>
              <w14:schemeClr w14:val="tx1"/>
            </w14:solidFill>
          </w14:textFill>
        </w:rPr>
        <w:t>年，全市具备条件的新建建筑原则上全部采用装配式方式进行建造。</w:t>
      </w:r>
    </w:p>
    <w:p>
      <w:pPr>
        <w:pStyle w:val="3"/>
        <w:numPr>
          <w:ilvl w:val="255"/>
          <w:numId w:val="0"/>
        </w:numPr>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85" w:name="_Toc529282347"/>
      <w:bookmarkStart w:id="86" w:name="_Toc11639"/>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二、分解规划</w:t>
      </w:r>
      <w:bookmarkEnd w:id="85"/>
      <w:bookmarkEnd w:id="86"/>
    </w:p>
    <w:p>
      <w:pPr>
        <w:ind w:firstLine="560" w:firstLineChars="20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为了更好地实现本次规划所定的各项总体指标，各辖区要结合本区域实际，稳步推进装配式建筑发展。同时根据各区域装配式建筑的经济发展、地理位置、</w:t>
      </w:r>
      <w:r>
        <w:rPr>
          <w:rFonts w:ascii="Times New Roman" w:hAnsi="Times New Roman" w:eastAsia="仿宋_GB2312"/>
          <w:color w:val="000000" w:themeColor="text1"/>
          <w:sz w:val="28"/>
          <w:szCs w:val="28"/>
          <w14:textFill>
            <w14:solidFill>
              <w14:schemeClr w14:val="tx1"/>
            </w14:solidFill>
          </w14:textFill>
        </w:rPr>
        <w:t>发展</w:t>
      </w:r>
      <w:r>
        <w:rPr>
          <w:rFonts w:hint="eastAsia" w:ascii="Times New Roman" w:hAnsi="Times New Roman" w:eastAsia="仿宋_GB2312"/>
          <w:color w:val="000000" w:themeColor="text1"/>
          <w:sz w:val="28"/>
          <w:szCs w:val="28"/>
          <w14:textFill>
            <w14:solidFill>
              <w14:schemeClr w14:val="tx1"/>
            </w14:solidFill>
          </w14:textFill>
        </w:rPr>
        <w:t>定位等因素确立累计装配式建筑总面积和装配式建筑占新建建筑比例，规划分区如下图所示：</w:t>
      </w:r>
    </w:p>
    <w:p>
      <w:pPr>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drawing>
          <wp:inline distT="0" distB="0" distL="0" distR="0">
            <wp:extent cx="8059420" cy="5304155"/>
            <wp:effectExtent l="6032" t="0" r="4763" b="4762"/>
            <wp:docPr id="25" name="图片 25" descr="E:\张云娟\张云娟2018\课题\装配式建筑规划\各市县装配式规划\五指山\图\01装配式建筑规划-分区划分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张云娟\张云娟2018\课题\装配式建筑规划\各市县装配式规划\五指山\图\01装配式建筑规划-分区划分图.jpg"/>
                    <pic:cNvPicPr>
                      <a:picLocks noChangeAspect="1" noChangeArrowheads="1"/>
                    </pic:cNvPicPr>
                  </pic:nvPicPr>
                  <pic:blipFill>
                    <a:blip r:embed="rId22" cstate="print">
                      <a:extLst>
                        <a:ext uri="{28A0092B-C50C-407E-A947-70E740481C1C}">
                          <a14:useLocalDpi xmlns:a14="http://schemas.microsoft.com/office/drawing/2010/main" val="0"/>
                        </a:ext>
                      </a:extLst>
                    </a:blip>
                    <a:srcRect l="2646" t="1872" r="2836" b="6157"/>
                    <a:stretch>
                      <a:fillRect/>
                    </a:stretch>
                  </pic:blipFill>
                  <pic:spPr>
                    <a:xfrm rot="16200000">
                      <a:off x="0" y="0"/>
                      <a:ext cx="8060862" cy="5305208"/>
                    </a:xfrm>
                    <a:prstGeom prst="rect">
                      <a:avLst/>
                    </a:prstGeom>
                    <a:noFill/>
                    <a:ln>
                      <a:noFill/>
                    </a:ln>
                  </pic:spPr>
                </pic:pic>
              </a:graphicData>
            </a:graphic>
          </wp:inline>
        </w:drawing>
      </w:r>
    </w:p>
    <w:p>
      <w:pPr>
        <w:numPr>
          <w:ilvl w:val="255"/>
          <w:numId w:val="0"/>
        </w:numPr>
        <w:tabs>
          <w:tab w:val="left" w:pos="6298"/>
        </w:tabs>
        <w:spacing w:before="100" w:after="100"/>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图5-2-1 五指山市区域分布示意图</w:t>
      </w:r>
    </w:p>
    <w:p>
      <w:pPr>
        <w:ind w:firstLine="560" w:firstLineChars="20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各规划分区年度装配式建筑任务分解具体如下表所示：</w:t>
      </w:r>
    </w:p>
    <w:p>
      <w:pPr>
        <w:spacing w:line="360" w:lineRule="auto"/>
        <w:jc w:val="center"/>
        <w:rPr>
          <w:rFonts w:ascii="Times New Roman" w:hAnsi="Times New Roman" w:eastAsia="仿宋"/>
          <w:b/>
          <w:color w:val="000000" w:themeColor="text1"/>
          <w:sz w:val="24"/>
          <w:szCs w:val="24"/>
          <w14:textFill>
            <w14:solidFill>
              <w14:schemeClr w14:val="tx1"/>
            </w14:solidFill>
          </w14:textFill>
        </w:rPr>
      </w:pPr>
      <w:r>
        <w:rPr>
          <w:rFonts w:hint="eastAsia" w:ascii="Times New Roman" w:hAnsi="Times New Roman" w:eastAsia="仿宋"/>
          <w:b/>
          <w:color w:val="000000" w:themeColor="text1"/>
          <w:sz w:val="24"/>
          <w:szCs w:val="24"/>
          <w14:textFill>
            <w14:solidFill>
              <w14:schemeClr w14:val="tx1"/>
            </w14:solidFill>
          </w14:textFill>
        </w:rPr>
        <w:t>表</w:t>
      </w:r>
      <w:r>
        <w:rPr>
          <w:rFonts w:ascii="Times New Roman" w:hAnsi="Times New Roman" w:eastAsia="仿宋"/>
          <w:b/>
          <w:color w:val="000000" w:themeColor="text1"/>
          <w:sz w:val="24"/>
          <w:szCs w:val="24"/>
          <w14:textFill>
            <w14:solidFill>
              <w14:schemeClr w14:val="tx1"/>
            </w14:solidFill>
          </w14:textFill>
        </w:rPr>
        <w:t xml:space="preserve">5-2-1 </w:t>
      </w:r>
      <w:r>
        <w:rPr>
          <w:rFonts w:hint="eastAsia" w:ascii="Times New Roman" w:hAnsi="Times New Roman" w:eastAsia="仿宋"/>
          <w:b/>
          <w:color w:val="000000" w:themeColor="text1"/>
          <w:sz w:val="24"/>
          <w:szCs w:val="24"/>
          <w14:textFill>
            <w14:solidFill>
              <w14:schemeClr w14:val="tx1"/>
            </w14:solidFill>
          </w14:textFill>
        </w:rPr>
        <w:t>五指山市</w:t>
      </w:r>
      <w:r>
        <w:rPr>
          <w:rFonts w:ascii="Times New Roman" w:hAnsi="Times New Roman" w:eastAsia="仿宋"/>
          <w:b/>
          <w:color w:val="000000" w:themeColor="text1"/>
          <w:sz w:val="24"/>
          <w:szCs w:val="24"/>
          <w14:textFill>
            <w14:solidFill>
              <w14:schemeClr w14:val="tx1"/>
            </w14:solidFill>
          </w14:textFill>
        </w:rPr>
        <w:t>2018-2022</w:t>
      </w:r>
      <w:r>
        <w:rPr>
          <w:rFonts w:hint="eastAsia" w:ascii="Times New Roman" w:hAnsi="Times New Roman" w:eastAsia="仿宋"/>
          <w:b/>
          <w:color w:val="000000" w:themeColor="text1"/>
          <w:sz w:val="24"/>
          <w:szCs w:val="24"/>
          <w14:textFill>
            <w14:solidFill>
              <w14:schemeClr w14:val="tx1"/>
            </w14:solidFill>
          </w14:textFill>
        </w:rPr>
        <w:t>年装配式建筑规划各区任务分解一览表</w:t>
      </w:r>
    </w:p>
    <w:tbl>
      <w:tblPr>
        <w:tblStyle w:val="22"/>
        <w:tblW w:w="82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689"/>
        <w:gridCol w:w="1176"/>
        <w:gridCol w:w="851"/>
        <w:gridCol w:w="851"/>
        <w:gridCol w:w="851"/>
        <w:gridCol w:w="853"/>
        <w:gridCol w:w="853"/>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0" w:type="dxa"/>
            <w:vAlign w:val="center"/>
          </w:tcPr>
          <w:p>
            <w:pPr>
              <w:spacing w:line="360"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指标</w:t>
            </w:r>
          </w:p>
        </w:tc>
        <w:tc>
          <w:tcPr>
            <w:tcW w:w="689" w:type="dxa"/>
            <w:vAlign w:val="center"/>
          </w:tcPr>
          <w:p>
            <w:pPr>
              <w:spacing w:line="360"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单位</w:t>
            </w:r>
          </w:p>
        </w:tc>
        <w:tc>
          <w:tcPr>
            <w:tcW w:w="1176" w:type="dxa"/>
            <w:vAlign w:val="center"/>
          </w:tcPr>
          <w:p>
            <w:pPr>
              <w:spacing w:line="360" w:lineRule="auto"/>
              <w:jc w:val="center"/>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区域</w:t>
            </w:r>
          </w:p>
        </w:tc>
        <w:tc>
          <w:tcPr>
            <w:tcW w:w="851" w:type="dxa"/>
            <w:vAlign w:val="center"/>
          </w:tcPr>
          <w:p>
            <w:pPr>
              <w:spacing w:line="360" w:lineRule="auto"/>
              <w:jc w:val="center"/>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2018年</w:t>
            </w:r>
          </w:p>
        </w:tc>
        <w:tc>
          <w:tcPr>
            <w:tcW w:w="851" w:type="dxa"/>
            <w:vAlign w:val="center"/>
          </w:tcPr>
          <w:p>
            <w:pPr>
              <w:spacing w:line="360" w:lineRule="auto"/>
              <w:jc w:val="center"/>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2019年</w:t>
            </w:r>
          </w:p>
        </w:tc>
        <w:tc>
          <w:tcPr>
            <w:tcW w:w="851" w:type="dxa"/>
            <w:vAlign w:val="center"/>
          </w:tcPr>
          <w:p>
            <w:pPr>
              <w:spacing w:line="36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eastAsia="仿宋_GB2312"/>
                <w:b/>
                <w:color w:val="000000" w:themeColor="text1"/>
                <w:sz w:val="24"/>
                <w14:textFill>
                  <w14:solidFill>
                    <w14:schemeClr w14:val="tx1"/>
                  </w14:solidFill>
                </w14:textFill>
              </w:rPr>
              <w:t>2020</w:t>
            </w:r>
            <w:r>
              <w:rPr>
                <w:rFonts w:hint="eastAsia" w:ascii="Times New Roman" w:hAnsi="Times New Roman" w:eastAsia="仿宋_GB2312"/>
                <w:b/>
                <w:color w:val="000000" w:themeColor="text1"/>
                <w:sz w:val="24"/>
                <w14:textFill>
                  <w14:solidFill>
                    <w14:schemeClr w14:val="tx1"/>
                  </w14:solidFill>
                </w14:textFill>
              </w:rPr>
              <w:t>年</w:t>
            </w:r>
          </w:p>
        </w:tc>
        <w:tc>
          <w:tcPr>
            <w:tcW w:w="853" w:type="dxa"/>
            <w:vAlign w:val="center"/>
          </w:tcPr>
          <w:p>
            <w:pPr>
              <w:spacing w:line="360" w:lineRule="auto"/>
              <w:jc w:val="center"/>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2021年</w:t>
            </w:r>
          </w:p>
        </w:tc>
        <w:tc>
          <w:tcPr>
            <w:tcW w:w="853" w:type="dxa"/>
            <w:vAlign w:val="center"/>
          </w:tcPr>
          <w:p>
            <w:pPr>
              <w:spacing w:line="36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eastAsia="仿宋_GB2312"/>
                <w:b/>
                <w:color w:val="000000" w:themeColor="text1"/>
                <w:sz w:val="24"/>
                <w14:textFill>
                  <w14:solidFill>
                    <w14:schemeClr w14:val="tx1"/>
                  </w14:solidFill>
                </w14:textFill>
              </w:rPr>
              <w:t>2022</w:t>
            </w:r>
            <w:r>
              <w:rPr>
                <w:rFonts w:hint="eastAsia" w:ascii="Times New Roman" w:hAnsi="Times New Roman" w:eastAsia="仿宋_GB2312"/>
                <w:b/>
                <w:color w:val="000000" w:themeColor="text1"/>
                <w:sz w:val="24"/>
                <w14:textFill>
                  <w14:solidFill>
                    <w14:schemeClr w14:val="tx1"/>
                  </w14:solidFill>
                </w14:textFill>
              </w:rPr>
              <w:t>年</w:t>
            </w:r>
          </w:p>
        </w:tc>
        <w:tc>
          <w:tcPr>
            <w:tcW w:w="1307" w:type="dxa"/>
            <w:vAlign w:val="center"/>
          </w:tcPr>
          <w:p>
            <w:pPr>
              <w:spacing w:line="360" w:lineRule="auto"/>
              <w:jc w:val="center"/>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840" w:type="dxa"/>
            <w:vMerge w:val="restart"/>
            <w:vAlign w:val="center"/>
          </w:tcPr>
          <w:p>
            <w:pPr>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装配式建筑总面积</w:t>
            </w:r>
          </w:p>
        </w:tc>
        <w:tc>
          <w:tcPr>
            <w:tcW w:w="689" w:type="dxa"/>
            <w:vMerge w:val="restart"/>
            <w:vAlign w:val="center"/>
          </w:tcPr>
          <w:p>
            <w:pPr>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万平方米</w:t>
            </w:r>
          </w:p>
        </w:tc>
        <w:tc>
          <w:tcPr>
            <w:tcW w:w="1176" w:type="dxa"/>
            <w:vAlign w:val="center"/>
          </w:tcPr>
          <w:p>
            <w:pPr>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lang w:bidi="ar"/>
                <w14:textFill>
                  <w14:solidFill>
                    <w14:schemeClr w14:val="tx1"/>
                  </w14:solidFill>
                </w14:textFill>
              </w:rPr>
              <w:t>主城区</w:t>
            </w:r>
          </w:p>
        </w:tc>
        <w:tc>
          <w:tcPr>
            <w:tcW w:w="851" w:type="dxa"/>
            <w:vAlign w:val="center"/>
          </w:tcPr>
          <w:p>
            <w:pPr>
              <w:widowControl/>
              <w:jc w:val="center"/>
              <w:textAlignment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0.4</w:t>
            </w:r>
            <w:r>
              <w:rPr>
                <w:rFonts w:ascii="Times New Roman" w:hAnsi="Times New Roman" w:eastAsia="仿宋" w:cs="Times New Roman"/>
                <w:color w:val="000000" w:themeColor="text1"/>
                <w:sz w:val="24"/>
                <w:szCs w:val="24"/>
                <w14:textFill>
                  <w14:solidFill>
                    <w14:schemeClr w14:val="tx1"/>
                  </w14:solidFill>
                </w14:textFill>
              </w:rPr>
              <w:t>5</w:t>
            </w:r>
          </w:p>
        </w:tc>
        <w:tc>
          <w:tcPr>
            <w:tcW w:w="851" w:type="dxa"/>
            <w:vAlign w:val="center"/>
          </w:tcPr>
          <w:p>
            <w:pPr>
              <w:widowControl/>
              <w:jc w:val="center"/>
              <w:textAlignment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2.142</w:t>
            </w:r>
          </w:p>
        </w:tc>
        <w:tc>
          <w:tcPr>
            <w:tcW w:w="851" w:type="dxa"/>
            <w:vAlign w:val="center"/>
          </w:tcPr>
          <w:p>
            <w:pPr>
              <w:widowControl/>
              <w:jc w:val="center"/>
              <w:textAlignment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3.36</w:t>
            </w:r>
          </w:p>
        </w:tc>
        <w:tc>
          <w:tcPr>
            <w:tcW w:w="853" w:type="dxa"/>
            <w:vAlign w:val="center"/>
          </w:tcPr>
          <w:p>
            <w:pPr>
              <w:widowControl/>
              <w:jc w:val="center"/>
              <w:textAlignment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5.6</w:t>
            </w:r>
          </w:p>
        </w:tc>
        <w:tc>
          <w:tcPr>
            <w:tcW w:w="853" w:type="dxa"/>
            <w:vAlign w:val="center"/>
          </w:tcPr>
          <w:p>
            <w:pPr>
              <w:widowControl/>
              <w:jc w:val="center"/>
              <w:textAlignment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5.6</w:t>
            </w:r>
          </w:p>
        </w:tc>
        <w:tc>
          <w:tcPr>
            <w:tcW w:w="1307" w:type="dxa"/>
            <w:vAlign w:val="center"/>
          </w:tcPr>
          <w:p>
            <w:pPr>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840" w:type="dxa"/>
            <w:vMerge w:val="continue"/>
            <w:vAlign w:val="center"/>
          </w:tcPr>
          <w:p>
            <w:pPr>
              <w:jc w:val="center"/>
              <w:rPr>
                <w:rFonts w:ascii="Times New Roman" w:hAnsi="Times New Roman" w:eastAsia="仿宋_GB2312"/>
                <w:color w:val="000000" w:themeColor="text1"/>
                <w:sz w:val="24"/>
                <w14:textFill>
                  <w14:solidFill>
                    <w14:schemeClr w14:val="tx1"/>
                  </w14:solidFill>
                </w14:textFill>
              </w:rPr>
            </w:pPr>
          </w:p>
        </w:tc>
        <w:tc>
          <w:tcPr>
            <w:tcW w:w="689" w:type="dxa"/>
            <w:vMerge w:val="continue"/>
            <w:vAlign w:val="center"/>
          </w:tcPr>
          <w:p>
            <w:pPr>
              <w:jc w:val="center"/>
              <w:rPr>
                <w:rFonts w:ascii="Times New Roman" w:hAnsi="Times New Roman" w:eastAsia="仿宋_GB2312"/>
                <w:color w:val="000000" w:themeColor="text1"/>
                <w:sz w:val="24"/>
                <w14:textFill>
                  <w14:solidFill>
                    <w14:schemeClr w14:val="tx1"/>
                  </w14:solidFill>
                </w14:textFill>
              </w:rPr>
            </w:pPr>
          </w:p>
        </w:tc>
        <w:tc>
          <w:tcPr>
            <w:tcW w:w="1176" w:type="dxa"/>
            <w:vAlign w:val="center"/>
          </w:tcPr>
          <w:p>
            <w:pPr>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lang w:bidi="ar"/>
                <w14:textFill>
                  <w14:solidFill>
                    <w14:schemeClr w14:val="tx1"/>
                  </w14:solidFill>
                </w14:textFill>
              </w:rPr>
              <w:t>生态旅游及特色小镇</w:t>
            </w:r>
            <w:r>
              <w:rPr>
                <w:rStyle w:val="20"/>
                <w:rFonts w:ascii="Times New Roman" w:hAnsi="Times New Roman"/>
                <w:color w:val="000000" w:themeColor="text1"/>
                <w14:textFill>
                  <w14:solidFill>
                    <w14:schemeClr w14:val="tx1"/>
                  </w14:solidFill>
                </w14:textFill>
              </w:rPr>
              <w:footnoteReference w:id="15"/>
            </w:r>
          </w:p>
        </w:tc>
        <w:tc>
          <w:tcPr>
            <w:tcW w:w="851" w:type="dxa"/>
            <w:vAlign w:val="center"/>
          </w:tcPr>
          <w:p>
            <w:pPr>
              <w:widowControl/>
              <w:jc w:val="center"/>
              <w:textAlignment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851" w:type="dxa"/>
            <w:vAlign w:val="center"/>
          </w:tcPr>
          <w:p>
            <w:pPr>
              <w:widowControl/>
              <w:jc w:val="center"/>
              <w:textAlignment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851" w:type="dxa"/>
            <w:vAlign w:val="center"/>
          </w:tcPr>
          <w:p>
            <w:pPr>
              <w:widowControl/>
              <w:jc w:val="center"/>
              <w:textAlignment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0.21</w:t>
            </w:r>
          </w:p>
        </w:tc>
        <w:tc>
          <w:tcPr>
            <w:tcW w:w="853" w:type="dxa"/>
            <w:vAlign w:val="center"/>
          </w:tcPr>
          <w:p>
            <w:pPr>
              <w:widowControl/>
              <w:jc w:val="center"/>
              <w:textAlignment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0.112</w:t>
            </w:r>
          </w:p>
        </w:tc>
        <w:tc>
          <w:tcPr>
            <w:tcW w:w="853" w:type="dxa"/>
            <w:vAlign w:val="center"/>
          </w:tcPr>
          <w:p>
            <w:pPr>
              <w:widowControl/>
              <w:jc w:val="center"/>
              <w:textAlignment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1</w:t>
            </w:r>
          </w:p>
        </w:tc>
        <w:tc>
          <w:tcPr>
            <w:tcW w:w="1307" w:type="dxa"/>
            <w:vAlign w:val="center"/>
          </w:tcPr>
          <w:p>
            <w:pPr>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840" w:type="dxa"/>
            <w:vMerge w:val="continue"/>
            <w:vAlign w:val="center"/>
          </w:tcPr>
          <w:p>
            <w:pPr>
              <w:jc w:val="center"/>
              <w:rPr>
                <w:rFonts w:ascii="Times New Roman" w:hAnsi="Times New Roman" w:eastAsia="仿宋_GB2312"/>
                <w:color w:val="000000" w:themeColor="text1"/>
                <w:sz w:val="24"/>
                <w14:textFill>
                  <w14:solidFill>
                    <w14:schemeClr w14:val="tx1"/>
                  </w14:solidFill>
                </w14:textFill>
              </w:rPr>
            </w:pPr>
          </w:p>
        </w:tc>
        <w:tc>
          <w:tcPr>
            <w:tcW w:w="689" w:type="dxa"/>
            <w:vMerge w:val="continue"/>
            <w:vAlign w:val="center"/>
          </w:tcPr>
          <w:p>
            <w:pPr>
              <w:jc w:val="center"/>
              <w:rPr>
                <w:rFonts w:ascii="Times New Roman" w:hAnsi="Times New Roman" w:eastAsia="仿宋_GB2312"/>
                <w:color w:val="000000" w:themeColor="text1"/>
                <w:sz w:val="24"/>
                <w14:textFill>
                  <w14:solidFill>
                    <w14:schemeClr w14:val="tx1"/>
                  </w14:solidFill>
                </w14:textFill>
              </w:rPr>
            </w:pPr>
          </w:p>
        </w:tc>
        <w:tc>
          <w:tcPr>
            <w:tcW w:w="1176" w:type="dxa"/>
            <w:vAlign w:val="center"/>
          </w:tcPr>
          <w:p>
            <w:pPr>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lang w:bidi="ar"/>
                <w14:textFill>
                  <w14:solidFill>
                    <w14:schemeClr w14:val="tx1"/>
                  </w14:solidFill>
                </w14:textFill>
              </w:rPr>
              <w:t>其他区域</w:t>
            </w:r>
          </w:p>
        </w:tc>
        <w:tc>
          <w:tcPr>
            <w:tcW w:w="851" w:type="dxa"/>
            <w:vAlign w:val="center"/>
          </w:tcPr>
          <w:p>
            <w:pPr>
              <w:widowControl/>
              <w:jc w:val="center"/>
              <w:textAlignment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851" w:type="dxa"/>
            <w:vAlign w:val="center"/>
          </w:tcPr>
          <w:p>
            <w:pPr>
              <w:widowControl/>
              <w:jc w:val="center"/>
              <w:textAlignment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851" w:type="dxa"/>
            <w:vAlign w:val="center"/>
          </w:tcPr>
          <w:p>
            <w:pPr>
              <w:widowControl/>
              <w:jc w:val="center"/>
              <w:textAlignment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853" w:type="dxa"/>
            <w:vAlign w:val="center"/>
          </w:tcPr>
          <w:p>
            <w:pPr>
              <w:widowControl/>
              <w:jc w:val="center"/>
              <w:textAlignment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853" w:type="dxa"/>
            <w:vAlign w:val="center"/>
          </w:tcPr>
          <w:p>
            <w:pPr>
              <w:widowControl/>
              <w:jc w:val="center"/>
              <w:textAlignment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0.54</w:t>
            </w:r>
          </w:p>
        </w:tc>
        <w:tc>
          <w:tcPr>
            <w:tcW w:w="1307" w:type="dxa"/>
            <w:vAlign w:val="center"/>
          </w:tcPr>
          <w:p>
            <w:pPr>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预期性</w:t>
            </w:r>
          </w:p>
        </w:tc>
      </w:tr>
    </w:tbl>
    <w:p>
      <w:pPr>
        <w:rPr>
          <w:rFonts w:ascii="Times New Roman" w:hAnsi="Times New Roman"/>
          <w:color w:val="000000" w:themeColor="text1"/>
          <w14:textFill>
            <w14:solidFill>
              <w14:schemeClr w14:val="tx1"/>
            </w14:solidFill>
          </w14:textFill>
        </w:rPr>
      </w:pPr>
    </w:p>
    <w:p>
      <w:pPr>
        <w:pStyle w:val="3"/>
        <w:numPr>
          <w:ilvl w:val="255"/>
          <w:numId w:val="0"/>
        </w:numPr>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87" w:name="_Toc529282348"/>
      <w:bookmarkStart w:id="88" w:name="_Toc24598"/>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三、产能落地：产能需求测算</w:t>
      </w:r>
      <w:bookmarkEnd w:id="87"/>
      <w:bookmarkEnd w:id="88"/>
    </w:p>
    <w:p>
      <w:pPr>
        <w:spacing w:line="360" w:lineRule="auto"/>
        <w:ind w:firstLine="560" w:firstLineChars="20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对产能需求进行测算，</w:t>
      </w:r>
      <w:r>
        <w:rPr>
          <w:rFonts w:ascii="Times New Roman" w:hAnsi="Times New Roman" w:eastAsia="仿宋_GB2312"/>
          <w:color w:val="000000" w:themeColor="text1"/>
          <w:sz w:val="28"/>
          <w:szCs w:val="28"/>
          <w14:textFill>
            <w14:solidFill>
              <w14:schemeClr w14:val="tx1"/>
            </w14:solidFill>
          </w14:textFill>
        </w:rPr>
        <w:t>有助于</w:t>
      </w:r>
      <w:r>
        <w:rPr>
          <w:rFonts w:hint="eastAsia" w:ascii="Times New Roman" w:hAnsi="Times New Roman" w:eastAsia="仿宋_GB2312"/>
          <w:color w:val="000000" w:themeColor="text1"/>
          <w:sz w:val="28"/>
          <w:szCs w:val="28"/>
          <w14:textFill>
            <w14:solidFill>
              <w14:schemeClr w14:val="tx1"/>
            </w14:solidFill>
          </w14:textFill>
        </w:rPr>
        <w:t>全面了解我市对不同种类部品部件的需求情况，统筹全省装配式构件企业布局情况，</w:t>
      </w:r>
      <w:r>
        <w:rPr>
          <w:rFonts w:ascii="Times New Roman" w:hAnsi="Times New Roman" w:eastAsia="仿宋_GB2312"/>
          <w:color w:val="000000" w:themeColor="text1"/>
          <w:sz w:val="28"/>
          <w:szCs w:val="28"/>
          <w14:textFill>
            <w14:solidFill>
              <w14:schemeClr w14:val="tx1"/>
            </w14:solidFill>
          </w14:textFill>
        </w:rPr>
        <w:t>避免</w:t>
      </w:r>
      <w:r>
        <w:rPr>
          <w:rFonts w:hint="eastAsia" w:ascii="Times New Roman" w:hAnsi="Times New Roman" w:eastAsia="仿宋_GB2312"/>
          <w:color w:val="000000" w:themeColor="text1"/>
          <w:sz w:val="28"/>
          <w:szCs w:val="28"/>
          <w14:textFill>
            <w14:solidFill>
              <w14:schemeClr w14:val="tx1"/>
            </w14:solidFill>
          </w14:textFill>
        </w:rPr>
        <w:t>造成产能过剩、资源浪费或产能不足影响城市建设。</w:t>
      </w:r>
    </w:p>
    <w:p>
      <w:pPr>
        <w:spacing w:line="360" w:lineRule="auto"/>
        <w:ind w:firstLine="560" w:firstLineChars="20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通过预估年度房屋新开工面积，</w:t>
      </w:r>
      <w:r>
        <w:rPr>
          <w:rFonts w:ascii="Times New Roman" w:hAnsi="Times New Roman" w:eastAsia="仿宋_GB2312"/>
          <w:color w:val="000000" w:themeColor="text1"/>
          <w:sz w:val="28"/>
          <w:szCs w:val="28"/>
          <w14:textFill>
            <w14:solidFill>
              <w14:schemeClr w14:val="tx1"/>
            </w14:solidFill>
          </w14:textFill>
        </w:rPr>
        <w:t>依据</w:t>
      </w:r>
      <w:r>
        <w:rPr>
          <w:rFonts w:hint="eastAsia" w:ascii="Times New Roman" w:hAnsi="Times New Roman" w:eastAsia="仿宋_GB2312"/>
          <w:color w:val="000000" w:themeColor="text1"/>
          <w:sz w:val="28"/>
          <w:szCs w:val="28"/>
          <w14:textFill>
            <w14:solidFill>
              <w14:schemeClr w14:val="tx1"/>
            </w14:solidFill>
          </w14:textFill>
        </w:rPr>
        <w:t>确定的目标比例要求推算该年度的装配式建筑面积建设量，再按分区、</w:t>
      </w:r>
      <w:r>
        <w:rPr>
          <w:rFonts w:ascii="Times New Roman" w:hAnsi="Times New Roman" w:eastAsia="仿宋_GB2312"/>
          <w:color w:val="000000" w:themeColor="text1"/>
          <w:sz w:val="28"/>
          <w:szCs w:val="28"/>
          <w14:textFill>
            <w14:solidFill>
              <w14:schemeClr w14:val="tx1"/>
            </w14:solidFill>
          </w14:textFill>
        </w:rPr>
        <w:t>分</w:t>
      </w:r>
      <w:r>
        <w:rPr>
          <w:rFonts w:hint="eastAsia" w:ascii="Times New Roman" w:hAnsi="Times New Roman" w:eastAsia="仿宋_GB2312"/>
          <w:color w:val="000000" w:themeColor="text1"/>
          <w:sz w:val="28"/>
          <w:szCs w:val="28"/>
          <w14:textFill>
            <w14:solidFill>
              <w14:schemeClr w14:val="tx1"/>
            </w14:solidFill>
          </w14:textFill>
        </w:rPr>
        <w:t>类型计算部品部件需求量。结合我市建筑类型和未来发展趋势，建议按装配式钢结构建筑和装配式木结构测算。</w:t>
      </w:r>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（一）房屋新开工面积预测</w:t>
      </w:r>
    </w:p>
    <w:p>
      <w:pPr>
        <w:spacing w:line="360" w:lineRule="auto"/>
        <w:ind w:firstLine="560" w:firstLineChars="2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根据《中共海南省委办公厅海南省人民政府办公厅关于进一步稳定房地产市场的通知》（琼办发</w:t>
      </w:r>
      <w:r>
        <w:rPr>
          <w:rFonts w:hint="eastAsia" w:ascii="Times New Roman" w:hAnsi="Times New Roman" w:eastAsia="仿宋_GB2312" w:cs="仿宋_GB2312"/>
          <w:kern w:val="0"/>
          <w:sz w:val="28"/>
          <w:szCs w:val="28"/>
        </w:rPr>
        <w:t>〔201</w:t>
      </w:r>
      <w:r>
        <w:rPr>
          <w:rFonts w:ascii="Times New Roman" w:hAnsi="Times New Roman" w:eastAsia="仿宋_GB2312" w:cs="仿宋_GB2312"/>
          <w:kern w:val="0"/>
          <w:sz w:val="28"/>
          <w:szCs w:val="28"/>
        </w:rPr>
        <w:t>8</w:t>
      </w:r>
      <w:r>
        <w:rPr>
          <w:rFonts w:hint="eastAsia" w:ascii="Times New Roman" w:hAnsi="Times New Roman" w:eastAsia="仿宋_GB2312" w:cs="仿宋_GB2312"/>
          <w:kern w:val="0"/>
          <w:sz w:val="28"/>
          <w:szCs w:val="28"/>
        </w:rPr>
        <w:t>〕</w:t>
      </w:r>
      <w:r>
        <w:rPr>
          <w:rFonts w:hint="eastAsia" w:ascii="Times New Roman" w:hAnsi="Times New Roman" w:eastAsia="仿宋_GB2312"/>
          <w:color w:val="000000" w:themeColor="text1"/>
          <w:sz w:val="28"/>
          <w:szCs w:val="28"/>
          <w14:textFill>
            <w14:solidFill>
              <w14:schemeClr w14:val="tx1"/>
            </w14:solidFill>
          </w14:textFill>
        </w:rPr>
        <w:t>2</w:t>
      </w:r>
      <w:r>
        <w:rPr>
          <w:rFonts w:ascii="Times New Roman" w:hAnsi="Times New Roman" w:eastAsia="仿宋_GB2312"/>
          <w:color w:val="000000" w:themeColor="text1"/>
          <w:sz w:val="28"/>
          <w:szCs w:val="28"/>
          <w14:textFill>
            <w14:solidFill>
              <w14:schemeClr w14:val="tx1"/>
            </w14:solidFill>
          </w14:textFill>
        </w:rPr>
        <w:t>9</w:t>
      </w:r>
      <w:r>
        <w:rPr>
          <w:rFonts w:hint="eastAsia" w:ascii="Times New Roman" w:hAnsi="Times New Roman" w:eastAsia="仿宋_GB2312"/>
          <w:color w:val="000000" w:themeColor="text1"/>
          <w:sz w:val="28"/>
          <w:szCs w:val="28"/>
          <w14:textFill>
            <w14:solidFill>
              <w14:schemeClr w14:val="tx1"/>
            </w14:solidFill>
          </w14:textFill>
        </w:rPr>
        <w:t>号）中提出的“建设用地供应向建设自由贸易试验区和中国特色自由贸易港亟需的基础设施、产业发展、社会发展、民生需求等倾斜，大幅减少直至停止供应外销商品住宅项目用地”，处于中部地区的五指山2018年的新开工房屋面积依据《海南省建筑产业现代化（装配式建筑）发展规划（2018-2022）</w:t>
      </w:r>
      <w:r>
        <w:rPr>
          <w:rFonts w:ascii="Times New Roman" w:hAnsi="Times New Roman" w:eastAsia="仿宋_GB2312"/>
          <w:color w:val="000000" w:themeColor="text1"/>
          <w:sz w:val="28"/>
          <w:szCs w:val="28"/>
          <w14:textFill>
            <w14:solidFill>
              <w14:schemeClr w14:val="tx1"/>
            </w14:solidFill>
          </w14:textFill>
        </w:rPr>
        <w:t>》</w:t>
      </w:r>
      <w:r>
        <w:rPr>
          <w:rFonts w:hint="eastAsia" w:ascii="Times New Roman" w:hAnsi="Times New Roman" w:eastAsia="仿宋_GB2312"/>
          <w:color w:val="000000" w:themeColor="text1"/>
          <w:sz w:val="28"/>
          <w:szCs w:val="28"/>
          <w14:textFill>
            <w14:solidFill>
              <w14:schemeClr w14:val="tx1"/>
            </w14:solidFill>
          </w14:textFill>
        </w:rPr>
        <w:t>中的测算数据，并在接下来的四年里按照此数据保持不变，因此预计未来5年五指山市的新开工房屋面积如表5-3</w:t>
      </w:r>
      <w:r>
        <w:rPr>
          <w:rFonts w:ascii="Times New Roman" w:hAnsi="Times New Roman" w:eastAsia="仿宋_GB2312"/>
          <w:color w:val="000000" w:themeColor="text1"/>
          <w:sz w:val="28"/>
          <w:szCs w:val="28"/>
          <w14:textFill>
            <w14:solidFill>
              <w14:schemeClr w14:val="tx1"/>
            </w14:solidFill>
          </w14:textFill>
        </w:rPr>
        <w:t>-1</w:t>
      </w:r>
      <w:r>
        <w:rPr>
          <w:rFonts w:hint="eastAsia" w:ascii="Times New Roman" w:hAnsi="Times New Roman" w:eastAsia="仿宋_GB2312"/>
          <w:color w:val="000000" w:themeColor="text1"/>
          <w:sz w:val="28"/>
          <w:szCs w:val="28"/>
          <w14:textFill>
            <w14:solidFill>
              <w14:schemeClr w14:val="tx1"/>
            </w14:solidFill>
          </w14:textFill>
        </w:rPr>
        <w:t>。</w:t>
      </w:r>
    </w:p>
    <w:p>
      <w:pPr>
        <w:spacing w:line="360" w:lineRule="auto"/>
        <w:jc w:val="center"/>
        <w:rPr>
          <w:rFonts w:ascii="Times New Roman" w:hAnsi="Times New Roman" w:eastAsia="仿宋" w:cs="Times New Roman"/>
          <w:b/>
          <w:color w:val="000000" w:themeColor="text1"/>
          <w:kern w:val="0"/>
          <w:sz w:val="24"/>
          <w:szCs w:val="24"/>
          <w14:textFill>
            <w14:solidFill>
              <w14:schemeClr w14:val="tx1"/>
            </w14:solidFill>
          </w14:textFill>
        </w:rPr>
      </w:pPr>
      <w:r>
        <w:rPr>
          <w:rFonts w:ascii="Times New Roman" w:hAnsi="Times New Roman" w:eastAsia="仿宋" w:cs="Times New Roman"/>
          <w:b/>
          <w:color w:val="000000" w:themeColor="text1"/>
          <w:kern w:val="0"/>
          <w:sz w:val="24"/>
          <w:szCs w:val="24"/>
          <w14:textFill>
            <w14:solidFill>
              <w14:schemeClr w14:val="tx1"/>
            </w14:solidFill>
          </w14:textFill>
        </w:rPr>
        <w:t>表5-3-1五指山市2018-2022年新开工房屋面积</w:t>
      </w:r>
      <w:r>
        <w:rPr>
          <w:rFonts w:hint="eastAsia" w:ascii="Times New Roman" w:hAnsi="Times New Roman" w:eastAsia="仿宋" w:cs="Times New Roman"/>
          <w:b/>
          <w:color w:val="000000" w:themeColor="text1"/>
          <w:kern w:val="0"/>
          <w:sz w:val="24"/>
          <w:szCs w:val="24"/>
          <w14:textFill>
            <w14:solidFill>
              <w14:schemeClr w14:val="tx1"/>
            </w14:solidFill>
          </w14:textFill>
        </w:rPr>
        <w:t>预测</w:t>
      </w:r>
      <w:r>
        <w:rPr>
          <w:rFonts w:ascii="Times New Roman" w:hAnsi="Times New Roman" w:eastAsia="仿宋" w:cs="Times New Roman"/>
          <w:b/>
          <w:color w:val="000000" w:themeColor="text1"/>
          <w:kern w:val="0"/>
          <w:sz w:val="24"/>
          <w:szCs w:val="24"/>
          <w14:textFill>
            <w14:solidFill>
              <w14:schemeClr w14:val="tx1"/>
            </w14:solidFill>
          </w14:textFill>
        </w:rPr>
        <w:t>（万m</w:t>
      </w:r>
      <w:r>
        <w:rPr>
          <w:rFonts w:ascii="Times New Roman" w:hAnsi="Times New Roman" w:eastAsia="仿宋" w:cs="Times New Roman"/>
          <w:b/>
          <w:color w:val="000000" w:themeColor="text1"/>
          <w:kern w:val="0"/>
          <w:sz w:val="24"/>
          <w:szCs w:val="24"/>
          <w:vertAlign w:val="superscript"/>
          <w14:textFill>
            <w14:solidFill>
              <w14:schemeClr w14:val="tx1"/>
            </w14:solidFill>
          </w14:textFill>
        </w:rPr>
        <w:t>2</w:t>
      </w:r>
      <w:r>
        <w:rPr>
          <w:rFonts w:ascii="Times New Roman" w:hAnsi="Times New Roman" w:eastAsia="仿宋" w:cs="Times New Roman"/>
          <w:b/>
          <w:color w:val="000000" w:themeColor="text1"/>
          <w:kern w:val="0"/>
          <w:sz w:val="24"/>
          <w:szCs w:val="24"/>
          <w14:textFill>
            <w14:solidFill>
              <w14:schemeClr w14:val="tx1"/>
            </w14:solidFill>
          </w14:textFill>
        </w:rPr>
        <w:t>）</w:t>
      </w:r>
    </w:p>
    <w:tbl>
      <w:tblPr>
        <w:tblStyle w:val="21"/>
        <w:tblW w:w="78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17"/>
        <w:gridCol w:w="1170"/>
        <w:gridCol w:w="1125"/>
        <w:gridCol w:w="1245"/>
        <w:gridCol w:w="1183"/>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1917"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地区</w:t>
            </w:r>
          </w:p>
        </w:tc>
        <w:tc>
          <w:tcPr>
            <w:tcW w:w="1170"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2018年</w:t>
            </w:r>
          </w:p>
        </w:tc>
        <w:tc>
          <w:tcPr>
            <w:tcW w:w="1125"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2019年</w:t>
            </w:r>
          </w:p>
        </w:tc>
        <w:tc>
          <w:tcPr>
            <w:tcW w:w="1245"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2020年</w:t>
            </w:r>
          </w:p>
        </w:tc>
        <w:tc>
          <w:tcPr>
            <w:tcW w:w="118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2021年</w:t>
            </w:r>
          </w:p>
        </w:tc>
        <w:tc>
          <w:tcPr>
            <w:tcW w:w="118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2" w:hRule="atLeast"/>
          <w:jc w:val="center"/>
        </w:trPr>
        <w:tc>
          <w:tcPr>
            <w:tcW w:w="1917"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五指山市</w:t>
            </w:r>
          </w:p>
        </w:tc>
        <w:tc>
          <w:tcPr>
            <w:tcW w:w="1170"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4"/>
                <w:lang w:bidi="ar"/>
                <w14:textFill>
                  <w14:solidFill>
                    <w14:schemeClr w14:val="tx1"/>
                  </w14:solidFill>
                </w14:textFill>
              </w:rPr>
              <w:t xml:space="preserve">7.14 </w:t>
            </w:r>
          </w:p>
        </w:tc>
        <w:tc>
          <w:tcPr>
            <w:tcW w:w="1125"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4"/>
                <w:lang w:bidi="ar"/>
                <w14:textFill>
                  <w14:solidFill>
                    <w14:schemeClr w14:val="tx1"/>
                  </w14:solidFill>
                </w14:textFill>
              </w:rPr>
              <w:t>7.14</w:t>
            </w:r>
          </w:p>
        </w:tc>
        <w:tc>
          <w:tcPr>
            <w:tcW w:w="1245"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4"/>
                <w:lang w:bidi="ar"/>
                <w14:textFill>
                  <w14:solidFill>
                    <w14:schemeClr w14:val="tx1"/>
                  </w14:solidFill>
                </w14:textFill>
              </w:rPr>
              <w:t xml:space="preserve">7.14 </w:t>
            </w:r>
          </w:p>
        </w:tc>
        <w:tc>
          <w:tcPr>
            <w:tcW w:w="118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4"/>
                <w:lang w:bidi="ar"/>
                <w14:textFill>
                  <w14:solidFill>
                    <w14:schemeClr w14:val="tx1"/>
                  </w14:solidFill>
                </w14:textFill>
              </w:rPr>
              <w:t xml:space="preserve">7.14 </w:t>
            </w:r>
          </w:p>
        </w:tc>
        <w:tc>
          <w:tcPr>
            <w:tcW w:w="118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4"/>
                <w:lang w:bidi="ar"/>
                <w14:textFill>
                  <w14:solidFill>
                    <w14:schemeClr w14:val="tx1"/>
                  </w14:solidFill>
                </w14:textFill>
              </w:rPr>
              <w:t>7.14</w:t>
            </w:r>
          </w:p>
        </w:tc>
      </w:tr>
    </w:tbl>
    <w:p>
      <w:pPr>
        <w:rPr>
          <w:rFonts w:ascii="Times New Roman" w:hAnsi="Times New Roman" w:eastAsia="仿宋" w:cs="Times New Roman"/>
          <w:color w:val="000000" w:themeColor="text1"/>
          <w14:textFill>
            <w14:solidFill>
              <w14:schemeClr w14:val="tx1"/>
            </w14:solidFill>
          </w14:textFill>
        </w:rPr>
      </w:pPr>
    </w:p>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（二）装配式建筑面积测算</w:t>
      </w:r>
    </w:p>
    <w:p>
      <w:pPr>
        <w:spacing w:line="360" w:lineRule="auto"/>
        <w:ind w:firstLine="560" w:firstLineChars="200"/>
        <w:jc w:val="left"/>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本市装配式建筑面积依据海南省装配式建筑发展目标任务进行分解测算，</w:t>
      </w:r>
      <w:r>
        <w:rPr>
          <w:rFonts w:ascii="Times New Roman" w:hAnsi="Times New Roman" w:eastAsia="仿宋_GB2312"/>
          <w:color w:val="000000" w:themeColor="text1"/>
          <w:sz w:val="28"/>
          <w:szCs w:val="28"/>
          <w14:textFill>
            <w14:solidFill>
              <w14:schemeClr w14:val="tx1"/>
            </w14:solidFill>
          </w14:textFill>
        </w:rPr>
        <w:t>装配式</w:t>
      </w:r>
      <w:r>
        <w:rPr>
          <w:rFonts w:hint="eastAsia" w:ascii="Times New Roman" w:hAnsi="Times New Roman" w:eastAsia="仿宋_GB2312"/>
          <w:color w:val="000000" w:themeColor="text1"/>
          <w:sz w:val="28"/>
          <w:szCs w:val="28"/>
          <w14:textFill>
            <w14:solidFill>
              <w14:schemeClr w14:val="tx1"/>
            </w14:solidFill>
          </w14:textFill>
        </w:rPr>
        <w:t>建筑面积占新开工房屋面积逐年增加，</w:t>
      </w:r>
      <w:r>
        <w:rPr>
          <w:rFonts w:ascii="Times New Roman" w:hAnsi="Times New Roman" w:eastAsia="仿宋_GB2312"/>
          <w:color w:val="000000" w:themeColor="text1"/>
          <w:sz w:val="28"/>
          <w:szCs w:val="28"/>
          <w14:textFill>
            <w14:solidFill>
              <w14:schemeClr w14:val="tx1"/>
            </w14:solidFill>
          </w14:textFill>
        </w:rPr>
        <w:t>至</w:t>
      </w:r>
      <w:r>
        <w:rPr>
          <w:rFonts w:hint="eastAsia" w:ascii="Times New Roman" w:hAnsi="Times New Roman" w:eastAsia="仿宋_GB2312"/>
          <w:color w:val="000000" w:themeColor="text1"/>
          <w:sz w:val="28"/>
          <w:szCs w:val="28"/>
          <w14:textFill>
            <w14:solidFill>
              <w14:schemeClr w14:val="tx1"/>
            </w14:solidFill>
          </w14:textFill>
        </w:rPr>
        <w:t>2022年达到100</w:t>
      </w:r>
      <w:r>
        <w:rPr>
          <w:rFonts w:ascii="Times New Roman" w:hAnsi="Times New Roman" w:eastAsia="仿宋_GB2312"/>
          <w:color w:val="000000" w:themeColor="text1"/>
          <w:sz w:val="28"/>
          <w:szCs w:val="28"/>
          <w14:textFill>
            <w14:solidFill>
              <w14:schemeClr w14:val="tx1"/>
            </w14:solidFill>
          </w14:textFill>
        </w:rPr>
        <w:t>%</w:t>
      </w:r>
      <w:r>
        <w:rPr>
          <w:rFonts w:hint="eastAsia" w:ascii="Times New Roman" w:hAnsi="Times New Roman" w:eastAsia="仿宋_GB2312"/>
          <w:color w:val="000000" w:themeColor="text1"/>
          <w:sz w:val="28"/>
          <w:szCs w:val="28"/>
          <w14:textFill>
            <w14:solidFill>
              <w14:schemeClr w14:val="tx1"/>
            </w14:solidFill>
          </w14:textFill>
        </w:rPr>
        <w:t>，具体测算数据如下表所示。</w:t>
      </w:r>
    </w:p>
    <w:p>
      <w:pPr>
        <w:spacing w:line="360" w:lineRule="auto"/>
        <w:jc w:val="center"/>
        <w:rPr>
          <w:rFonts w:ascii="Times New Roman" w:hAnsi="Times New Roman" w:eastAsia="仿宋" w:cs="Times New Roman"/>
          <w:b/>
          <w:color w:val="000000" w:themeColor="text1"/>
          <w:kern w:val="0"/>
          <w:sz w:val="24"/>
          <w:szCs w:val="24"/>
          <w14:textFill>
            <w14:solidFill>
              <w14:schemeClr w14:val="tx1"/>
            </w14:solidFill>
          </w14:textFill>
        </w:rPr>
      </w:pPr>
      <w:r>
        <w:rPr>
          <w:rFonts w:ascii="Times New Roman" w:hAnsi="Times New Roman" w:eastAsia="仿宋" w:cs="Times New Roman"/>
          <w:b/>
          <w:color w:val="000000" w:themeColor="text1"/>
          <w:kern w:val="0"/>
          <w:sz w:val="24"/>
          <w:szCs w:val="24"/>
          <w14:textFill>
            <w14:solidFill>
              <w14:schemeClr w14:val="tx1"/>
            </w14:solidFill>
          </w14:textFill>
        </w:rPr>
        <w:t>表5-3-2五指山市2018-2022年装配式建筑面积（万m</w:t>
      </w:r>
      <w:r>
        <w:rPr>
          <w:rFonts w:ascii="Times New Roman" w:hAnsi="Times New Roman" w:eastAsia="仿宋" w:cs="Times New Roman"/>
          <w:b/>
          <w:color w:val="000000" w:themeColor="text1"/>
          <w:kern w:val="0"/>
          <w:sz w:val="24"/>
          <w:szCs w:val="24"/>
          <w:vertAlign w:val="superscript"/>
          <w14:textFill>
            <w14:solidFill>
              <w14:schemeClr w14:val="tx1"/>
            </w14:solidFill>
          </w14:textFill>
        </w:rPr>
        <w:t>2</w:t>
      </w:r>
      <w:r>
        <w:rPr>
          <w:rFonts w:ascii="Times New Roman" w:hAnsi="Times New Roman" w:eastAsia="仿宋" w:cs="Times New Roman"/>
          <w:b/>
          <w:color w:val="000000" w:themeColor="text1"/>
          <w:kern w:val="0"/>
          <w:sz w:val="24"/>
          <w:szCs w:val="24"/>
          <w14:textFill>
            <w14:solidFill>
              <w14:schemeClr w14:val="tx1"/>
            </w14:solidFill>
          </w14:textFill>
        </w:rPr>
        <w:t>）</w:t>
      </w:r>
    </w:p>
    <w:tbl>
      <w:tblPr>
        <w:tblStyle w:val="21"/>
        <w:tblW w:w="78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17"/>
        <w:gridCol w:w="1170"/>
        <w:gridCol w:w="1125"/>
        <w:gridCol w:w="1245"/>
        <w:gridCol w:w="1183"/>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1917"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地区</w:t>
            </w:r>
          </w:p>
        </w:tc>
        <w:tc>
          <w:tcPr>
            <w:tcW w:w="1170"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2018年</w:t>
            </w:r>
          </w:p>
        </w:tc>
        <w:tc>
          <w:tcPr>
            <w:tcW w:w="1125"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2019年</w:t>
            </w:r>
          </w:p>
        </w:tc>
        <w:tc>
          <w:tcPr>
            <w:tcW w:w="1245"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2020年</w:t>
            </w:r>
          </w:p>
        </w:tc>
        <w:tc>
          <w:tcPr>
            <w:tcW w:w="118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2021年</w:t>
            </w:r>
          </w:p>
        </w:tc>
        <w:tc>
          <w:tcPr>
            <w:tcW w:w="118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2" w:hRule="atLeast"/>
          <w:jc w:val="center"/>
        </w:trPr>
        <w:tc>
          <w:tcPr>
            <w:tcW w:w="1917"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五指山市</w:t>
            </w:r>
          </w:p>
        </w:tc>
        <w:tc>
          <w:tcPr>
            <w:tcW w:w="1170"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0.45</w:t>
            </w:r>
          </w:p>
        </w:tc>
        <w:tc>
          <w:tcPr>
            <w:tcW w:w="1125"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2.142</w:t>
            </w:r>
          </w:p>
        </w:tc>
        <w:tc>
          <w:tcPr>
            <w:tcW w:w="1245"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3.57</w:t>
            </w:r>
          </w:p>
        </w:tc>
        <w:tc>
          <w:tcPr>
            <w:tcW w:w="118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5.712</w:t>
            </w:r>
          </w:p>
        </w:tc>
        <w:tc>
          <w:tcPr>
            <w:tcW w:w="118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7.14</w:t>
            </w:r>
          </w:p>
        </w:tc>
      </w:tr>
    </w:tbl>
    <w:p>
      <w:pPr>
        <w:spacing w:line="360" w:lineRule="auto"/>
        <w:outlineLvl w:val="2"/>
        <w:rPr>
          <w:rFonts w:hint="eastAsia" w:ascii="楷体_GB2312" w:hAnsi="楷体_GB2312" w:eastAsia="楷体_GB2312" w:cs="楷体_GB2312"/>
          <w:b w:val="0"/>
          <w:bCs/>
          <w:color w:val="000000" w:themeColor="text1"/>
          <w:sz w:val="28"/>
          <w:szCs w:val="28"/>
          <w14:textFill>
            <w14:solidFill>
              <w14:schemeClr w14:val="tx1"/>
            </w14:solidFill>
          </w14:textFill>
        </w:rPr>
      </w:pPr>
      <w:r>
        <w:rPr>
          <w:rFonts w:hint="eastAsia" w:ascii="楷体_GB2312" w:hAnsi="楷体_GB2312" w:eastAsia="楷体_GB2312" w:cs="楷体_GB2312"/>
          <w:b w:val="0"/>
          <w:bCs/>
          <w:color w:val="000000" w:themeColor="text1"/>
          <w:sz w:val="28"/>
          <w:szCs w:val="28"/>
          <w:lang w:val="en-US" w:eastAsia="zh-CN"/>
          <w14:textFill>
            <w14:solidFill>
              <w14:schemeClr w14:val="tx1"/>
            </w14:solidFill>
          </w14:textFill>
        </w:rPr>
        <w:t xml:space="preserve">    </w:t>
      </w:r>
      <w:r>
        <w:rPr>
          <w:rFonts w:hint="eastAsia" w:ascii="楷体_GB2312" w:hAnsi="楷体_GB2312" w:eastAsia="楷体_GB2312" w:cs="楷体_GB2312"/>
          <w:b w:val="0"/>
          <w:bCs/>
          <w:color w:val="000000" w:themeColor="text1"/>
          <w:sz w:val="28"/>
          <w:szCs w:val="28"/>
          <w14:textFill>
            <w14:solidFill>
              <w14:schemeClr w14:val="tx1"/>
            </w14:solidFill>
          </w14:textFill>
        </w:rPr>
        <w:t>（三）装配式构件产能测算</w:t>
      </w:r>
    </w:p>
    <w:p>
      <w:pPr>
        <w:spacing w:line="360" w:lineRule="auto"/>
        <w:jc w:val="center"/>
        <w:rPr>
          <w:rFonts w:ascii="Times New Roman" w:hAnsi="Times New Roman" w:eastAsia="仿宋" w:cs="Times New Roman"/>
          <w:b/>
          <w:color w:val="000000" w:themeColor="text1"/>
          <w:kern w:val="0"/>
          <w:sz w:val="24"/>
          <w:szCs w:val="24"/>
          <w14:textFill>
            <w14:solidFill>
              <w14:schemeClr w14:val="tx1"/>
            </w14:solidFill>
          </w14:textFill>
        </w:rPr>
      </w:pPr>
      <w:r>
        <w:rPr>
          <w:rFonts w:ascii="Times New Roman" w:hAnsi="Times New Roman" w:eastAsia="仿宋" w:cs="Times New Roman"/>
          <w:b/>
          <w:color w:val="000000" w:themeColor="text1"/>
          <w:kern w:val="0"/>
          <w:sz w:val="24"/>
          <w:szCs w:val="24"/>
          <w14:textFill>
            <w14:solidFill>
              <w14:schemeClr w14:val="tx1"/>
            </w14:solidFill>
          </w14:textFill>
        </w:rPr>
        <w:t>表5-3-3 五指山市各地区2018年装配式建筑构件产能需求</w:t>
      </w:r>
    </w:p>
    <w:tbl>
      <w:tblPr>
        <w:tblStyle w:val="21"/>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7"/>
        <w:gridCol w:w="993"/>
        <w:gridCol w:w="992"/>
        <w:gridCol w:w="992"/>
        <w:gridCol w:w="992"/>
        <w:gridCol w:w="992"/>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1107"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地区</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新开工建筑面积（万m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2"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装配式建筑面积（万m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2"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装配式混凝土建筑面积</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2"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混凝土构件需求量（万m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3</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2"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装配式钢结构建筑面积</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2"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钢构件需求量</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（万t）</w:t>
            </w:r>
          </w:p>
        </w:tc>
        <w:tc>
          <w:tcPr>
            <w:tcW w:w="992"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装配式木结构建筑面积</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2"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木构件需求量</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3</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1107"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主城区</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5</w:t>
            </w:r>
            <w:r>
              <w:rPr>
                <w:rFonts w:hint="eastAsia" w:ascii="Times New Roman" w:hAnsi="Times New Roman" w:eastAsia="仿宋" w:cs="Times New Roman"/>
                <w:color w:val="000000" w:themeColor="text1"/>
                <w:sz w:val="24"/>
                <w:szCs w:val="24"/>
                <w14:textFill>
                  <w14:solidFill>
                    <w14:schemeClr w14:val="tx1"/>
                  </w14:solidFill>
                </w14:textFill>
              </w:rPr>
              <w:t>.6</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0.4</w:t>
            </w:r>
            <w:r>
              <w:rPr>
                <w:rFonts w:ascii="Times New Roman" w:hAnsi="Times New Roman" w:eastAsia="仿宋" w:cs="Times New Roman"/>
                <w:color w:val="000000" w:themeColor="text1"/>
                <w:sz w:val="24"/>
                <w:szCs w:val="24"/>
                <w14:textFill>
                  <w14:solidFill>
                    <w14:schemeClr w14:val="tx1"/>
                  </w14:solidFill>
                </w14:textFill>
              </w:rPr>
              <w:t>5</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0.</w:t>
            </w:r>
            <w:r>
              <w:rPr>
                <w:rFonts w:ascii="Times New Roman" w:hAnsi="Times New Roman" w:eastAsia="仿宋" w:cs="Times New Roman"/>
                <w:color w:val="000000" w:themeColor="text1"/>
                <w:sz w:val="24"/>
                <w:szCs w:val="24"/>
                <w14:textFill>
                  <w14:solidFill>
                    <w14:schemeClr w14:val="tx1"/>
                  </w14:solidFill>
                </w14:textFill>
              </w:rPr>
              <w:t>45</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0.0</w:t>
            </w:r>
            <w:r>
              <w:rPr>
                <w:rFonts w:ascii="Times New Roman" w:hAnsi="Times New Roman" w:eastAsia="仿宋" w:cs="Times New Roman"/>
                <w:color w:val="000000" w:themeColor="text1"/>
                <w:sz w:val="24"/>
                <w:szCs w:val="24"/>
                <w14:textFill>
                  <w14:solidFill>
                    <w14:schemeClr w14:val="tx1"/>
                  </w14:solidFill>
                </w14:textFill>
              </w:rPr>
              <w:t>32</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1107"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生态旅游及特色小镇</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1</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1107"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其他区域</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0.54</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1107"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合计</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7.14</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0.</w:t>
            </w:r>
            <w:r>
              <w:rPr>
                <w:rFonts w:ascii="Times New Roman" w:hAnsi="Times New Roman" w:eastAsia="仿宋" w:cs="Times New Roman"/>
                <w:color w:val="000000" w:themeColor="text1"/>
                <w:sz w:val="24"/>
                <w:szCs w:val="24"/>
                <w14:textFill>
                  <w14:solidFill>
                    <w14:schemeClr w14:val="tx1"/>
                  </w14:solidFill>
                </w14:textFill>
              </w:rPr>
              <w:t>4</w:t>
            </w:r>
            <w:r>
              <w:rPr>
                <w:rFonts w:hint="eastAsia" w:ascii="Times New Roman" w:hAnsi="Times New Roman" w:eastAsia="仿宋" w:cs="Times New Roman"/>
                <w:color w:val="000000" w:themeColor="text1"/>
                <w:sz w:val="24"/>
                <w:szCs w:val="24"/>
                <w14:textFill>
                  <w14:solidFill>
                    <w14:schemeClr w14:val="tx1"/>
                  </w14:solidFill>
                </w14:textFill>
              </w:rPr>
              <w:t>5</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0.45</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0.0</w:t>
            </w:r>
            <w:r>
              <w:rPr>
                <w:rFonts w:ascii="Times New Roman" w:hAnsi="Times New Roman" w:eastAsia="仿宋" w:cs="Times New Roman"/>
                <w:color w:val="000000" w:themeColor="text1"/>
                <w:sz w:val="24"/>
                <w:szCs w:val="24"/>
                <w14:textFill>
                  <w14:solidFill>
                    <w14:schemeClr w14:val="tx1"/>
                  </w14:solidFill>
                </w14:textFill>
              </w:rPr>
              <w:t>32</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2"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r>
    </w:tbl>
    <w:p>
      <w:pPr>
        <w:spacing w:line="360" w:lineRule="auto"/>
        <w:jc w:val="center"/>
        <w:rPr>
          <w:rFonts w:ascii="Times New Roman" w:hAnsi="Times New Roman" w:eastAsia="仿宋" w:cs="Times New Roman"/>
          <w:b/>
          <w:color w:val="000000" w:themeColor="text1"/>
          <w:kern w:val="0"/>
          <w:sz w:val="24"/>
          <w:szCs w:val="24"/>
          <w14:textFill>
            <w14:solidFill>
              <w14:schemeClr w14:val="tx1"/>
            </w14:solidFill>
          </w14:textFill>
        </w:rPr>
      </w:pPr>
      <w:r>
        <w:rPr>
          <w:rFonts w:ascii="Times New Roman" w:hAnsi="Times New Roman" w:eastAsia="仿宋" w:cs="Times New Roman"/>
          <w:b/>
          <w:color w:val="000000" w:themeColor="text1"/>
          <w:kern w:val="0"/>
          <w:sz w:val="24"/>
          <w:szCs w:val="24"/>
          <w14:textFill>
            <w14:solidFill>
              <w14:schemeClr w14:val="tx1"/>
            </w14:solidFill>
          </w14:textFill>
        </w:rPr>
        <w:t>表5-3-4 五指山市各地区2019年装配式建筑构件产能需求</w:t>
      </w:r>
    </w:p>
    <w:tbl>
      <w:tblPr>
        <w:tblStyle w:val="21"/>
        <w:tblW w:w="89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993"/>
        <w:gridCol w:w="993"/>
        <w:gridCol w:w="993"/>
        <w:gridCol w:w="993"/>
        <w:gridCol w:w="993"/>
        <w:gridCol w:w="993"/>
        <w:gridCol w:w="993"/>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地区</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新开工建筑面积（万m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装配式建筑面积（万m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装配式混凝土建筑面积</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混凝土构件需求量（万m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3</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装配式钢结构建筑面积</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钢构件需求量</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装配式木结构建筑面积</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木构件需求量</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3</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主城区</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5</w:t>
            </w:r>
            <w:r>
              <w:rPr>
                <w:rFonts w:hint="eastAsia" w:ascii="Times New Roman" w:hAnsi="Times New Roman" w:eastAsia="仿宋" w:cs="Times New Roman"/>
                <w:color w:val="000000" w:themeColor="text1"/>
                <w:sz w:val="24"/>
                <w:szCs w:val="24"/>
                <w14:textFill>
                  <w14:solidFill>
                    <w14:schemeClr w14:val="tx1"/>
                  </w14:solidFill>
                </w14:textFill>
              </w:rPr>
              <w:t>.6</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2.142</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1.071</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0.075</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1.071</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生态旅游及特色小镇</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1</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其他区域</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0.54</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合计</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7.14</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2.142</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1.071</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0.075</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1.071</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0.536</w:t>
            </w:r>
          </w:p>
        </w:tc>
      </w:tr>
    </w:tbl>
    <w:p>
      <w:pPr>
        <w:spacing w:line="360" w:lineRule="auto"/>
        <w:jc w:val="center"/>
        <w:rPr>
          <w:rFonts w:ascii="Times New Roman" w:hAnsi="Times New Roman" w:eastAsia="仿宋" w:cs="Times New Roman"/>
          <w:b/>
          <w:color w:val="000000" w:themeColor="text1"/>
          <w:kern w:val="0"/>
          <w:sz w:val="24"/>
          <w:szCs w:val="24"/>
          <w14:textFill>
            <w14:solidFill>
              <w14:schemeClr w14:val="tx1"/>
            </w14:solidFill>
          </w14:textFill>
        </w:rPr>
      </w:pPr>
      <w:r>
        <w:rPr>
          <w:rFonts w:ascii="Times New Roman" w:hAnsi="Times New Roman" w:eastAsia="仿宋" w:cs="Times New Roman"/>
          <w:b/>
          <w:color w:val="000000" w:themeColor="text1"/>
          <w:kern w:val="0"/>
          <w:sz w:val="24"/>
          <w:szCs w:val="24"/>
          <w14:textFill>
            <w14:solidFill>
              <w14:schemeClr w14:val="tx1"/>
            </w14:solidFill>
          </w14:textFill>
        </w:rPr>
        <w:t>表5-3-5 五指山市各地区2020年装配式建筑构件产能需求</w:t>
      </w:r>
    </w:p>
    <w:tbl>
      <w:tblPr>
        <w:tblStyle w:val="21"/>
        <w:tblW w:w="89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993"/>
        <w:gridCol w:w="993"/>
        <w:gridCol w:w="993"/>
        <w:gridCol w:w="993"/>
        <w:gridCol w:w="993"/>
        <w:gridCol w:w="993"/>
        <w:gridCol w:w="993"/>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地区</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新开工建筑面积（万m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装配式建筑面积（万m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装配式混凝土建筑面积</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混凝土构件需求量（万m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3</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装配式钢结构建筑面积</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钢构件需求量</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装配式木结构建筑面积</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木构件需求量</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3</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主城区</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5</w:t>
            </w:r>
            <w:r>
              <w:rPr>
                <w:rFonts w:hint="eastAsia" w:ascii="Times New Roman" w:hAnsi="Times New Roman" w:eastAsia="仿宋" w:cs="Times New Roman"/>
                <w:color w:val="000000" w:themeColor="text1"/>
                <w:sz w:val="24"/>
                <w:szCs w:val="24"/>
                <w14:textFill>
                  <w14:solidFill>
                    <w14:schemeClr w14:val="tx1"/>
                  </w14:solidFill>
                </w14:textFill>
              </w:rPr>
              <w:t>.6</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3.36</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1.68</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0</w:t>
            </w:r>
            <w:r>
              <w:rPr>
                <w:rFonts w:hint="eastAsia" w:ascii="Times New Roman" w:hAnsi="Times New Roman" w:eastAsia="仿宋" w:cs="Times New Roman"/>
                <w:color w:val="000000" w:themeColor="text1"/>
                <w:kern w:val="0"/>
                <w:sz w:val="22"/>
                <w:lang w:bidi="ar"/>
                <w14:textFill>
                  <w14:solidFill>
                    <w14:schemeClr w14:val="tx1"/>
                  </w14:solidFill>
                </w14:textFill>
              </w:rPr>
              <w:t>.1</w:t>
            </w:r>
            <w:r>
              <w:rPr>
                <w:rFonts w:ascii="Times New Roman" w:hAnsi="Times New Roman" w:eastAsia="仿宋" w:cs="Times New Roman"/>
                <w:color w:val="000000" w:themeColor="text1"/>
                <w:kern w:val="0"/>
                <w:sz w:val="22"/>
                <w:lang w:bidi="ar"/>
                <w14:textFill>
                  <w14:solidFill>
                    <w14:schemeClr w14:val="tx1"/>
                  </w14:solidFill>
                </w14:textFill>
              </w:rPr>
              <w:t>18</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1.68</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生态旅游及特色小镇</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1</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0.21</w:t>
            </w:r>
          </w:p>
        </w:tc>
        <w:tc>
          <w:tcPr>
            <w:tcW w:w="993" w:type="dxa"/>
            <w:vAlign w:val="center"/>
          </w:tcPr>
          <w:p>
            <w:pPr>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0.11</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0.008</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0.1</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其他区域</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0.54</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合计</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7.14</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3.57</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1.79</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0.126</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1.78</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0.89</w:t>
            </w:r>
          </w:p>
        </w:tc>
      </w:tr>
    </w:tbl>
    <w:p>
      <w:pPr>
        <w:spacing w:line="360" w:lineRule="auto"/>
        <w:jc w:val="center"/>
        <w:rPr>
          <w:rFonts w:ascii="Times New Roman" w:hAnsi="Times New Roman" w:eastAsia="仿宋" w:cs="Times New Roman"/>
          <w:b/>
          <w:color w:val="000000" w:themeColor="text1"/>
          <w:kern w:val="0"/>
          <w:sz w:val="24"/>
          <w:szCs w:val="24"/>
          <w14:textFill>
            <w14:solidFill>
              <w14:schemeClr w14:val="tx1"/>
            </w14:solidFill>
          </w14:textFill>
        </w:rPr>
      </w:pPr>
      <w:r>
        <w:rPr>
          <w:rFonts w:ascii="Times New Roman" w:hAnsi="Times New Roman" w:eastAsia="仿宋" w:cs="Times New Roman"/>
          <w:b/>
          <w:color w:val="000000" w:themeColor="text1"/>
          <w:kern w:val="0"/>
          <w:sz w:val="24"/>
          <w:szCs w:val="24"/>
          <w14:textFill>
            <w14:solidFill>
              <w14:schemeClr w14:val="tx1"/>
            </w14:solidFill>
          </w14:textFill>
        </w:rPr>
        <w:t>表5-3-6 五指山市各地区2021年装配式建筑构件产能需求</w:t>
      </w:r>
    </w:p>
    <w:tbl>
      <w:tblPr>
        <w:tblStyle w:val="21"/>
        <w:tblW w:w="89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993"/>
        <w:gridCol w:w="993"/>
        <w:gridCol w:w="993"/>
        <w:gridCol w:w="993"/>
        <w:gridCol w:w="993"/>
        <w:gridCol w:w="993"/>
        <w:gridCol w:w="993"/>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地区</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新开工建筑面积（万m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装配式建筑面积（万m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装配式混凝土建筑面积</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混凝土构件需求量（万m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3</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装配式钢结构建筑面积</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钢构件需求量</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装配式木结构建筑面积</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木构件需求量</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3</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主城区</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5</w:t>
            </w:r>
            <w:r>
              <w:rPr>
                <w:rFonts w:hint="eastAsia" w:ascii="Times New Roman" w:hAnsi="Times New Roman" w:eastAsia="仿宋" w:cs="Times New Roman"/>
                <w:color w:val="000000" w:themeColor="text1"/>
                <w:sz w:val="24"/>
                <w:szCs w:val="24"/>
                <w14:textFill>
                  <w14:solidFill>
                    <w14:schemeClr w14:val="tx1"/>
                  </w14:solidFill>
                </w14:textFill>
              </w:rPr>
              <w:t>.6</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5.6</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2</w:t>
            </w:r>
            <w:r>
              <w:rPr>
                <w:rFonts w:hint="eastAsia" w:ascii="Times New Roman" w:hAnsi="Times New Roman" w:eastAsia="仿宋" w:cs="Times New Roman"/>
                <w:color w:val="000000" w:themeColor="text1"/>
                <w:kern w:val="0"/>
                <w:sz w:val="22"/>
                <w:lang w:bidi="ar"/>
                <w14:textFill>
                  <w14:solidFill>
                    <w14:schemeClr w14:val="tx1"/>
                  </w14:solidFill>
                </w14:textFill>
              </w:rPr>
              <w:t>.8</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0</w:t>
            </w:r>
            <w:r>
              <w:rPr>
                <w:rFonts w:hint="eastAsia" w:ascii="Times New Roman" w:hAnsi="Times New Roman" w:eastAsia="仿宋" w:cs="Times New Roman"/>
                <w:color w:val="000000" w:themeColor="text1"/>
                <w:kern w:val="0"/>
                <w:sz w:val="22"/>
                <w:lang w:bidi="ar"/>
                <w14:textFill>
                  <w14:solidFill>
                    <w14:schemeClr w14:val="tx1"/>
                  </w14:solidFill>
                </w14:textFill>
              </w:rPr>
              <w:t>.196</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2.8</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生态旅游及特色小镇</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1</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0.112</w:t>
            </w:r>
          </w:p>
        </w:tc>
        <w:tc>
          <w:tcPr>
            <w:tcW w:w="993" w:type="dxa"/>
            <w:vAlign w:val="center"/>
          </w:tcPr>
          <w:p>
            <w:pPr>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0.112</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0.008</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其他区域</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0.54</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合计</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7.14</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5.712</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2.912</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0.204</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2.8</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1.4</w:t>
            </w:r>
          </w:p>
        </w:tc>
      </w:tr>
    </w:tbl>
    <w:p>
      <w:pPr>
        <w:spacing w:line="360" w:lineRule="auto"/>
        <w:jc w:val="center"/>
        <w:rPr>
          <w:rFonts w:ascii="Times New Roman" w:hAnsi="Times New Roman" w:eastAsia="仿宋" w:cs="Times New Roman"/>
          <w:b/>
          <w:color w:val="000000" w:themeColor="text1"/>
          <w:kern w:val="0"/>
          <w:sz w:val="24"/>
          <w:szCs w:val="24"/>
          <w14:textFill>
            <w14:solidFill>
              <w14:schemeClr w14:val="tx1"/>
            </w14:solidFill>
          </w14:textFill>
        </w:rPr>
      </w:pPr>
      <w:r>
        <w:rPr>
          <w:rFonts w:ascii="Times New Roman" w:hAnsi="Times New Roman" w:eastAsia="仿宋" w:cs="Times New Roman"/>
          <w:b/>
          <w:color w:val="000000" w:themeColor="text1"/>
          <w:kern w:val="0"/>
          <w:sz w:val="24"/>
          <w:szCs w:val="24"/>
          <w14:textFill>
            <w14:solidFill>
              <w14:schemeClr w14:val="tx1"/>
            </w14:solidFill>
          </w14:textFill>
        </w:rPr>
        <w:t>表5-3-7 五指山市各地区2022年装配式建筑构件产能需求</w:t>
      </w:r>
    </w:p>
    <w:tbl>
      <w:tblPr>
        <w:tblStyle w:val="21"/>
        <w:tblW w:w="89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993"/>
        <w:gridCol w:w="993"/>
        <w:gridCol w:w="993"/>
        <w:gridCol w:w="993"/>
        <w:gridCol w:w="993"/>
        <w:gridCol w:w="993"/>
        <w:gridCol w:w="993"/>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地区</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新开工建筑面积（万m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装配式建筑面积（万m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装配式混凝土建筑面积</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混凝土构件需求量（万m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3</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装配式钢结构建筑面积</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钢构件需求量</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装配式木结构建筑面积</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2</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木构件需求量</w:t>
            </w:r>
          </w:p>
          <w:p>
            <w:pPr>
              <w:widowControl/>
              <w:jc w:val="center"/>
              <w:textAlignment w:val="center"/>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（万m</w:t>
            </w:r>
            <w:r>
              <w:rPr>
                <w:rFonts w:ascii="Times New Roman" w:hAnsi="Times New Roman" w:eastAsia="仿宋" w:cs="Times New Roman"/>
                <w:color w:val="000000" w:themeColor="text1"/>
                <w:kern w:val="0"/>
                <w:sz w:val="24"/>
                <w:szCs w:val="24"/>
                <w:vertAlign w:val="superscript"/>
                <w:lang w:bidi="ar"/>
                <w14:textFill>
                  <w14:solidFill>
                    <w14:schemeClr w14:val="tx1"/>
                  </w14:solidFill>
                </w14:textFill>
              </w:rPr>
              <w:t>3</w:t>
            </w:r>
            <w:r>
              <w:rPr>
                <w:rFonts w:ascii="Times New Roman" w:hAnsi="Times New Roman" w:eastAsia="仿宋" w:cs="Times New Roman"/>
                <w:color w:val="000000" w:themeColor="text1"/>
                <w:kern w:val="0"/>
                <w:sz w:val="24"/>
                <w:szCs w:val="24"/>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tcBorders>
              <w:bottom w:val="single" w:color="auto" w:sz="4" w:space="0"/>
            </w:tcBorders>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主城区</w:t>
            </w:r>
          </w:p>
        </w:tc>
        <w:tc>
          <w:tcPr>
            <w:tcW w:w="993" w:type="dxa"/>
            <w:tcBorders>
              <w:bottom w:val="single" w:color="auto" w:sz="4" w:space="0"/>
            </w:tcBorders>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5</w:t>
            </w:r>
            <w:r>
              <w:rPr>
                <w:rFonts w:hint="eastAsia" w:ascii="Times New Roman" w:hAnsi="Times New Roman" w:eastAsia="仿宋" w:cs="Times New Roman"/>
                <w:color w:val="000000" w:themeColor="text1"/>
                <w:sz w:val="24"/>
                <w:szCs w:val="24"/>
                <w14:textFill>
                  <w14:solidFill>
                    <w14:schemeClr w14:val="tx1"/>
                  </w14:solidFill>
                </w14:textFill>
              </w:rPr>
              <w:t>.6</w:t>
            </w:r>
          </w:p>
        </w:tc>
        <w:tc>
          <w:tcPr>
            <w:tcW w:w="993" w:type="dxa"/>
            <w:tcBorders>
              <w:bottom w:val="single" w:color="auto" w:sz="4" w:space="0"/>
            </w:tcBorders>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5.6</w:t>
            </w:r>
          </w:p>
        </w:tc>
        <w:tc>
          <w:tcPr>
            <w:tcW w:w="993" w:type="dxa"/>
            <w:tcBorders>
              <w:bottom w:val="single" w:color="auto" w:sz="4" w:space="0"/>
            </w:tcBorders>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tcBorders>
              <w:bottom w:val="single" w:color="auto" w:sz="4" w:space="0"/>
            </w:tcBorders>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tcBorders>
              <w:bottom w:val="single" w:color="auto" w:sz="4" w:space="0"/>
            </w:tcBorders>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2</w:t>
            </w:r>
            <w:r>
              <w:rPr>
                <w:rFonts w:hint="eastAsia" w:ascii="Times New Roman" w:hAnsi="Times New Roman" w:eastAsia="仿宋" w:cs="Times New Roman"/>
                <w:color w:val="000000" w:themeColor="text1"/>
                <w:kern w:val="0"/>
                <w:sz w:val="22"/>
                <w:lang w:bidi="ar"/>
                <w14:textFill>
                  <w14:solidFill>
                    <w14:schemeClr w14:val="tx1"/>
                  </w14:solidFill>
                </w14:textFill>
              </w:rPr>
              <w:t>.8</w:t>
            </w:r>
          </w:p>
        </w:tc>
        <w:tc>
          <w:tcPr>
            <w:tcW w:w="993" w:type="dxa"/>
            <w:tcBorders>
              <w:bottom w:val="single" w:color="auto" w:sz="4" w:space="0"/>
            </w:tcBorders>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0</w:t>
            </w:r>
            <w:r>
              <w:rPr>
                <w:rFonts w:hint="eastAsia" w:ascii="Times New Roman" w:hAnsi="Times New Roman" w:eastAsia="仿宋" w:cs="Times New Roman"/>
                <w:color w:val="000000" w:themeColor="text1"/>
                <w:kern w:val="0"/>
                <w:sz w:val="22"/>
                <w:lang w:bidi="ar"/>
                <w14:textFill>
                  <w14:solidFill>
                    <w14:schemeClr w14:val="tx1"/>
                  </w14:solidFill>
                </w14:textFill>
              </w:rPr>
              <w:t>.196</w:t>
            </w:r>
          </w:p>
        </w:tc>
        <w:tc>
          <w:tcPr>
            <w:tcW w:w="993" w:type="dxa"/>
            <w:tcBorders>
              <w:bottom w:val="single" w:color="auto" w:sz="4" w:space="0"/>
            </w:tcBorders>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2.8</w:t>
            </w:r>
          </w:p>
        </w:tc>
        <w:tc>
          <w:tcPr>
            <w:tcW w:w="993" w:type="dxa"/>
            <w:tcBorders>
              <w:bottom w:val="single" w:color="auto" w:sz="4" w:space="0"/>
            </w:tcBorders>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shd w:val="clear" w:color="auto" w:fill="auto"/>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生态旅游及特色小镇</w:t>
            </w:r>
          </w:p>
        </w:tc>
        <w:tc>
          <w:tcPr>
            <w:tcW w:w="993" w:type="dxa"/>
            <w:shd w:val="clear" w:color="auto" w:fill="auto"/>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1</w:t>
            </w:r>
          </w:p>
        </w:tc>
        <w:tc>
          <w:tcPr>
            <w:tcW w:w="993" w:type="dxa"/>
            <w:shd w:val="clear" w:color="auto" w:fill="auto"/>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1</w:t>
            </w:r>
          </w:p>
        </w:tc>
        <w:tc>
          <w:tcPr>
            <w:tcW w:w="993" w:type="dxa"/>
            <w:shd w:val="clear" w:color="auto" w:fill="auto"/>
            <w:vAlign w:val="center"/>
          </w:tcPr>
          <w:p>
            <w:pPr>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shd w:val="clear" w:color="auto" w:fill="auto"/>
            <w:vAlign w:val="center"/>
          </w:tcPr>
          <w:p>
            <w:pPr>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shd w:val="clear" w:color="auto" w:fill="auto"/>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kern w:val="0"/>
                <w:sz w:val="22"/>
                <w:lang w:bidi="ar"/>
                <w14:textFill>
                  <w14:solidFill>
                    <w14:schemeClr w14:val="tx1"/>
                  </w14:solidFill>
                </w14:textFill>
              </w:rPr>
              <w:t>0.5</w:t>
            </w:r>
          </w:p>
        </w:tc>
        <w:tc>
          <w:tcPr>
            <w:tcW w:w="993" w:type="dxa"/>
            <w:shd w:val="clear" w:color="auto" w:fill="auto"/>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kern w:val="0"/>
                <w:sz w:val="22"/>
                <w:lang w:bidi="ar"/>
                <w14:textFill>
                  <w14:solidFill>
                    <w14:schemeClr w14:val="tx1"/>
                  </w14:solidFill>
                </w14:textFill>
              </w:rPr>
              <w:t>0.035</w:t>
            </w:r>
          </w:p>
        </w:tc>
        <w:tc>
          <w:tcPr>
            <w:tcW w:w="993" w:type="dxa"/>
            <w:shd w:val="clear" w:color="auto" w:fill="auto"/>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kern w:val="0"/>
                <w:sz w:val="22"/>
                <w:lang w:bidi="ar"/>
                <w14:textFill>
                  <w14:solidFill>
                    <w14:schemeClr w14:val="tx1"/>
                  </w14:solidFill>
                </w14:textFill>
              </w:rPr>
              <w:t>0.5</w:t>
            </w:r>
          </w:p>
        </w:tc>
        <w:tc>
          <w:tcPr>
            <w:tcW w:w="993" w:type="dxa"/>
            <w:shd w:val="clear" w:color="auto" w:fill="auto"/>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kern w:val="0"/>
                <w:sz w:val="22"/>
                <w:lang w:bidi="ar"/>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其他区域</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0.54</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0.54</w:t>
            </w:r>
          </w:p>
        </w:tc>
        <w:tc>
          <w:tcPr>
            <w:tcW w:w="993" w:type="dxa"/>
            <w:vAlign w:val="center"/>
          </w:tcPr>
          <w:p>
            <w:pPr>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kern w:val="0"/>
                <w:sz w:val="22"/>
                <w:lang w:bidi="ar"/>
                <w14:textFill>
                  <w14:solidFill>
                    <w14:schemeClr w14:val="tx1"/>
                  </w14:solidFill>
                </w14:textFill>
              </w:rPr>
              <w:t>0.27</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0</w:t>
            </w:r>
            <w:r>
              <w:rPr>
                <w:rFonts w:hint="eastAsia" w:ascii="Times New Roman" w:hAnsi="Times New Roman" w:eastAsia="仿宋" w:cs="Times New Roman"/>
                <w:color w:val="000000" w:themeColor="text1"/>
                <w:kern w:val="0"/>
                <w:sz w:val="22"/>
                <w:lang w:bidi="ar"/>
                <w14:textFill>
                  <w14:solidFill>
                    <w14:schemeClr w14:val="tx1"/>
                  </w14:solidFill>
                </w14:textFill>
              </w:rPr>
              <w:t>.019</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0</w:t>
            </w:r>
            <w:r>
              <w:rPr>
                <w:rFonts w:hint="eastAsia" w:ascii="Times New Roman" w:hAnsi="Times New Roman" w:eastAsia="仿宋" w:cs="Times New Roman"/>
                <w:color w:val="000000" w:themeColor="text1"/>
                <w:kern w:val="0"/>
                <w:sz w:val="22"/>
                <w:lang w:bidi="ar"/>
                <w14:textFill>
                  <w14:solidFill>
                    <w14:schemeClr w14:val="tx1"/>
                  </w14:solidFill>
                </w14:textFill>
              </w:rPr>
              <w:t>.27</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0</w:t>
            </w:r>
            <w:r>
              <w:rPr>
                <w:rFonts w:hint="eastAsia" w:ascii="Times New Roman" w:hAnsi="Times New Roman" w:eastAsia="仿宋" w:cs="Times New Roman"/>
                <w:color w:val="000000" w:themeColor="text1"/>
                <w:kern w:val="0"/>
                <w:sz w:val="22"/>
                <w:lang w:bidi="ar"/>
                <w14:textFill>
                  <w14:solidFill>
                    <w14:schemeClr w14:val="tx1"/>
                  </w14:solidFill>
                </w14:textFill>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993" w:type="dxa"/>
            <w:vAlign w:val="center"/>
          </w:tcPr>
          <w:p>
            <w:pPr>
              <w:widowControl/>
              <w:jc w:val="center"/>
              <w:textAlignment w:val="center"/>
              <w:rPr>
                <w:rFonts w:ascii="Times New Roman" w:hAnsi="Times New Roman" w:eastAsia="仿宋" w:cs="Times New Roman"/>
                <w:color w:val="000000" w:themeColor="text1"/>
                <w:kern w:val="0"/>
                <w:sz w:val="24"/>
                <w:szCs w:val="24"/>
                <w:lang w:bidi="ar"/>
                <w14:textFill>
                  <w14:solidFill>
                    <w14:schemeClr w14:val="tx1"/>
                  </w14:solidFill>
                </w14:textFill>
              </w:rPr>
            </w:pPr>
            <w:r>
              <w:rPr>
                <w:rFonts w:ascii="Times New Roman" w:hAnsi="Times New Roman" w:eastAsia="仿宋" w:cs="Times New Roman"/>
                <w:color w:val="000000" w:themeColor="text1"/>
                <w:kern w:val="0"/>
                <w:sz w:val="24"/>
                <w:szCs w:val="24"/>
                <w:lang w:bidi="ar"/>
                <w14:textFill>
                  <w14:solidFill>
                    <w14:schemeClr w14:val="tx1"/>
                  </w14:solidFill>
                </w14:textFill>
              </w:rPr>
              <w:t>合计</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7.14</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7.14</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0</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kern w:val="0"/>
                <w:sz w:val="22"/>
                <w:lang w:bidi="ar"/>
                <w14:textFill>
                  <w14:solidFill>
                    <w14:schemeClr w14:val="tx1"/>
                  </w14:solidFill>
                </w14:textFill>
              </w:rPr>
              <w:t>3.57</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0</w:t>
            </w:r>
            <w:r>
              <w:rPr>
                <w:rFonts w:hint="eastAsia" w:ascii="Times New Roman" w:hAnsi="Times New Roman" w:eastAsia="仿宋" w:cs="Times New Roman"/>
                <w:color w:val="000000" w:themeColor="text1"/>
                <w:kern w:val="0"/>
                <w:sz w:val="22"/>
                <w:lang w:bidi="ar"/>
                <w14:textFill>
                  <w14:solidFill>
                    <w14:schemeClr w14:val="tx1"/>
                  </w14:solidFill>
                </w14:textFill>
              </w:rPr>
              <w:t>.25</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3.57</w:t>
            </w:r>
          </w:p>
        </w:tc>
        <w:tc>
          <w:tcPr>
            <w:tcW w:w="993" w:type="dxa"/>
            <w:vAlign w:val="center"/>
          </w:tcPr>
          <w:p>
            <w:pPr>
              <w:widowControl/>
              <w:jc w:val="center"/>
              <w:textAlignment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kern w:val="0"/>
                <w:sz w:val="22"/>
                <w:lang w:bidi="ar"/>
                <w14:textFill>
                  <w14:solidFill>
                    <w14:schemeClr w14:val="tx1"/>
                  </w14:solidFill>
                </w14:textFill>
              </w:rPr>
              <w:t>1.785</w:t>
            </w:r>
          </w:p>
        </w:tc>
      </w:tr>
    </w:tbl>
    <w:p>
      <w:pPr>
        <w:ind w:firstLine="560" w:firstLineChars="20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根据我市推进装配式建筑发展的技术路线进行产能测算，装配式钢结构建筑面积最多，装配式木结构建筑面积相对较少。但是由于结构体系的不同，对构件需求量相差较大，实际测算中钢结构构件需求量较大，木结构构件的需求量相比较大。</w:t>
      </w:r>
    </w:p>
    <w:p>
      <w:pPr>
        <w:ind w:firstLine="560" w:firstLineChars="20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依据海南省整体产能布局以及五指山市发展定位，五指山市不适宜建设装配式部品部件生产基地，装配式部品部件的需求可由运输距离较短的琼南地区和西部地区的部品部件生产厂家提供构件。</w:t>
      </w:r>
    </w:p>
    <w:p>
      <w:pPr>
        <w:ind w:firstLine="420"/>
        <w:rPr>
          <w:rFonts w:ascii="Times New Roman" w:hAnsi="Times New Roman" w:eastAsia="仿宋" w:cs="Times New Roman"/>
          <w:color w:val="000000" w:themeColor="text1"/>
          <w:kern w:val="0"/>
          <w:sz w:val="28"/>
          <w:szCs w:val="28"/>
          <w14:textFill>
            <w14:solidFill>
              <w14:schemeClr w14:val="tx1"/>
            </w14:solidFill>
          </w14:textFill>
        </w:rPr>
      </w:pPr>
      <w:r>
        <w:rPr>
          <w:rFonts w:ascii="Times New Roman" w:hAnsi="Times New Roman" w:eastAsia="仿宋" w:cs="Times New Roman"/>
          <w:color w:val="000000" w:themeColor="text1"/>
          <w:kern w:val="0"/>
          <w:sz w:val="28"/>
          <w:szCs w:val="28"/>
          <w14:textFill>
            <w14:solidFill>
              <w14:schemeClr w14:val="tx1"/>
            </w14:solidFill>
          </w14:textFill>
        </w:rPr>
        <w:drawing>
          <wp:inline distT="0" distB="0" distL="0" distR="0">
            <wp:extent cx="5142230" cy="3627755"/>
            <wp:effectExtent l="0" t="0" r="1270" b="0"/>
            <wp:docPr id="8" name="图片 8" descr="E:\张云娟\张云娟2018\课题\装配式建筑规划\各市县装配式规划\五指山\图\海南省地图 基础要素版 - 副本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张云娟\张云娟2018\课题\装配式建筑规划\各市县装配式规划\五指山\图\海南省地图 基础要素版 - 副本副本.jpg"/>
                    <pic:cNvPicPr>
                      <a:picLocks noChangeAspect="1" noChangeArrowheads="1"/>
                    </pic:cNvPicPr>
                  </pic:nvPicPr>
                  <pic:blipFill>
                    <a:blip r:embed="rId23" cstate="print">
                      <a:extLst>
                        <a:ext uri="{28A0092B-C50C-407E-A947-70E740481C1C}">
                          <a14:useLocalDpi xmlns:a14="http://schemas.microsoft.com/office/drawing/2010/main" val="0"/>
                        </a:ext>
                      </a:extLst>
                    </a:blip>
                    <a:srcRect l="1112" t="3262" r="1250" b="1541"/>
                    <a:stretch>
                      <a:fillRect/>
                    </a:stretch>
                  </pic:blipFill>
                  <pic:spPr>
                    <a:xfrm>
                      <a:off x="0" y="0"/>
                      <a:ext cx="5142337" cy="3628164"/>
                    </a:xfrm>
                    <a:prstGeom prst="rect">
                      <a:avLst/>
                    </a:prstGeom>
                    <a:noFill/>
                    <a:ln>
                      <a:noFill/>
                    </a:ln>
                  </pic:spPr>
                </pic:pic>
              </a:graphicData>
            </a:graphic>
          </wp:inline>
        </w:drawing>
      </w:r>
    </w:p>
    <w:p>
      <w:pPr>
        <w:numPr>
          <w:ilvl w:val="255"/>
          <w:numId w:val="0"/>
        </w:numPr>
        <w:tabs>
          <w:tab w:val="left" w:pos="6298"/>
        </w:tabs>
        <w:spacing w:before="100" w:after="100"/>
        <w:jc w:val="center"/>
        <w:rPr>
          <w:rFonts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图5-3-1 五指山市钢结构预制构件产能需求分布图</w:t>
      </w:r>
    </w:p>
    <w:p>
      <w:pPr>
        <w:ind w:firstLine="420" w:firstLineChars="200"/>
        <w:rPr>
          <w:rFonts w:ascii="Times New Roman" w:hAnsi="Times New Roman" w:eastAsia="仿宋" w:cs="Times New Roman"/>
          <w:color w:val="000000" w:themeColor="text1"/>
          <w14:textFill>
            <w14:solidFill>
              <w14:schemeClr w14:val="tx1"/>
            </w14:solidFill>
          </w14:textFill>
        </w:rPr>
      </w:pPr>
    </w:p>
    <w:bookmarkEnd w:id="84"/>
    <w:p>
      <w:pPr>
        <w:rPr>
          <w:rFonts w:ascii="Times New Roman" w:hAnsi="Times New Roman" w:eastAsia="黑体" w:cs="黑体"/>
          <w:b/>
          <w:color w:val="000000" w:themeColor="text1"/>
          <w:sz w:val="32"/>
          <w:szCs w:val="32"/>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bookmarkStart w:id="89" w:name="_Toc27283"/>
      <w:bookmarkStart w:id="90" w:name="_Toc509571595"/>
      <w:bookmarkStart w:id="91" w:name="_Toc6004"/>
      <w:bookmarkStart w:id="92" w:name="_Toc509571331"/>
      <w:bookmarkStart w:id="93" w:name="_Toc30174"/>
      <w:bookmarkStart w:id="94" w:name="_Toc7047"/>
      <w:bookmarkStart w:id="95" w:name="_Toc24466"/>
      <w:bookmarkStart w:id="96" w:name="_Toc661"/>
    </w:p>
    <w:p>
      <w:pPr>
        <w:pStyle w:val="2"/>
        <w:jc w:val="center"/>
        <w:rPr>
          <w:rFonts w:ascii="Times New Roman" w:hAnsi="Times New Roman" w:eastAsia="黑体" w:cs="黑体"/>
          <w:color w:val="000000" w:themeColor="text1"/>
          <w:sz w:val="32"/>
          <w:szCs w:val="32"/>
          <w14:textFill>
            <w14:solidFill>
              <w14:schemeClr w14:val="tx1"/>
            </w14:solidFill>
          </w14:textFill>
        </w:rPr>
      </w:pPr>
      <w:bookmarkStart w:id="97" w:name="_Toc6851"/>
      <w:bookmarkStart w:id="98" w:name="_Toc529282349"/>
      <w:r>
        <w:rPr>
          <w:rFonts w:hint="eastAsia" w:ascii="Times New Roman" w:hAnsi="Times New Roman" w:eastAsia="黑体" w:cs="黑体"/>
          <w:color w:val="000000" w:themeColor="text1"/>
          <w:sz w:val="32"/>
          <w:szCs w:val="32"/>
          <w14:textFill>
            <w14:solidFill>
              <w14:schemeClr w14:val="tx1"/>
            </w14:solidFill>
          </w14:textFill>
        </w:rPr>
        <w:t>第六章 保障措施</w:t>
      </w:r>
      <w:bookmarkEnd w:id="89"/>
      <w:bookmarkEnd w:id="90"/>
      <w:bookmarkEnd w:id="91"/>
      <w:bookmarkEnd w:id="92"/>
      <w:bookmarkEnd w:id="93"/>
      <w:bookmarkEnd w:id="94"/>
      <w:bookmarkEnd w:id="95"/>
      <w:bookmarkEnd w:id="97"/>
      <w:bookmarkEnd w:id="98"/>
    </w:p>
    <w:p>
      <w:pPr>
        <w:pStyle w:val="3"/>
        <w:numPr>
          <w:ilvl w:val="255"/>
          <w:numId w:val="0"/>
        </w:numPr>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99" w:name="_Toc529282350"/>
      <w:bookmarkStart w:id="100" w:name="_Toc12962"/>
      <w:bookmarkStart w:id="101" w:name="_Toc18316"/>
      <w:bookmarkStart w:id="102" w:name="_Toc8237"/>
      <w:bookmarkStart w:id="103" w:name="_Toc509571596"/>
      <w:bookmarkStart w:id="104" w:name="_Toc509571332"/>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一、健全工作机制</w:t>
      </w:r>
      <w:bookmarkEnd w:id="99"/>
      <w:bookmarkEnd w:id="100"/>
      <w:bookmarkEnd w:id="101"/>
      <w:bookmarkEnd w:id="102"/>
      <w:bookmarkEnd w:id="103"/>
      <w:bookmarkEnd w:id="104"/>
    </w:p>
    <w:p>
      <w:pPr>
        <w:spacing w:line="360" w:lineRule="auto"/>
        <w:ind w:firstLine="560" w:firstLineChars="200"/>
        <w:jc w:val="left"/>
        <w:rPr>
          <w:rFonts w:ascii="Times New Roman" w:hAnsi="Times New Roman" w:eastAsia="仿宋_GB2312" w:cs="Times New Roman"/>
          <w:color w:val="000000" w:themeColor="text1"/>
          <w:sz w:val="28"/>
          <w:szCs w:val="24"/>
          <w14:textFill>
            <w14:solidFill>
              <w14:schemeClr w14:val="tx1"/>
            </w14:solidFill>
          </w14:textFill>
        </w:rPr>
      </w:pPr>
      <w:r>
        <w:rPr>
          <w:rFonts w:ascii="Times New Roman" w:hAnsi="Times New Roman" w:eastAsia="仿宋_GB2312" w:cs="Times New Roman"/>
          <w:color w:val="000000" w:themeColor="text1"/>
          <w:sz w:val="28"/>
          <w:szCs w:val="24"/>
          <w14:textFill>
            <w14:solidFill>
              <w14:schemeClr w14:val="tx1"/>
            </w14:solidFill>
          </w14:textFill>
        </w:rPr>
        <w:t>切实加强</w:t>
      </w:r>
      <w:r>
        <w:rPr>
          <w:rFonts w:hint="eastAsia" w:ascii="Times New Roman" w:hAnsi="Times New Roman" w:eastAsia="仿宋_GB2312" w:cs="Times New Roman"/>
          <w:color w:val="000000" w:themeColor="text1"/>
          <w:sz w:val="28"/>
          <w:szCs w:val="24"/>
          <w14:textFill>
            <w14:solidFill>
              <w14:schemeClr w14:val="tx1"/>
            </w14:solidFill>
          </w14:textFill>
        </w:rPr>
        <w:t>组织领导工作，由</w:t>
      </w:r>
      <w:r>
        <w:rPr>
          <w:rFonts w:ascii="Times New Roman" w:hAnsi="Times New Roman" w:eastAsia="仿宋_GB2312" w:cs="Times New Roman"/>
          <w:color w:val="000000" w:themeColor="text1"/>
          <w:kern w:val="0"/>
          <w:sz w:val="28"/>
          <w:szCs w:val="24"/>
          <w14:textFill>
            <w14:solidFill>
              <w14:schemeClr w14:val="tx1"/>
            </w14:solidFill>
          </w14:textFill>
        </w:rPr>
        <w:t>市住房</w:t>
      </w:r>
      <w:r>
        <w:rPr>
          <w:rFonts w:hint="eastAsia" w:ascii="Times New Roman" w:hAnsi="Times New Roman" w:eastAsia="仿宋_GB2312" w:cs="Times New Roman"/>
          <w:color w:val="000000" w:themeColor="text1"/>
          <w:kern w:val="0"/>
          <w:sz w:val="28"/>
          <w:szCs w:val="24"/>
          <w14:textFill>
            <w14:solidFill>
              <w14:schemeClr w14:val="tx1"/>
            </w14:solidFill>
          </w14:textFill>
        </w:rPr>
        <w:t>城乡建设局</w:t>
      </w:r>
      <w:r>
        <w:rPr>
          <w:rFonts w:ascii="Times New Roman" w:hAnsi="Times New Roman" w:eastAsia="仿宋_GB2312" w:cs="Times New Roman"/>
          <w:color w:val="000000" w:themeColor="text1"/>
          <w:kern w:val="0"/>
          <w:sz w:val="28"/>
          <w:szCs w:val="24"/>
          <w14:textFill>
            <w14:solidFill>
              <w14:schemeClr w14:val="tx1"/>
            </w14:solidFill>
          </w14:textFill>
        </w:rPr>
        <w:t>负责</w:t>
      </w:r>
      <w:r>
        <w:rPr>
          <w:rFonts w:hint="eastAsia" w:ascii="Times New Roman" w:hAnsi="Times New Roman" w:eastAsia="仿宋_GB2312" w:cs="Times New Roman"/>
          <w:color w:val="000000" w:themeColor="text1"/>
          <w:kern w:val="0"/>
          <w:sz w:val="28"/>
          <w:szCs w:val="24"/>
          <w14:textFill>
            <w14:solidFill>
              <w14:schemeClr w14:val="tx1"/>
            </w14:solidFill>
          </w14:textFill>
        </w:rPr>
        <w:t>装配式建筑的</w:t>
      </w:r>
      <w:r>
        <w:rPr>
          <w:rFonts w:ascii="Times New Roman" w:hAnsi="Times New Roman" w:eastAsia="仿宋_GB2312" w:cs="Times New Roman"/>
          <w:color w:val="000000" w:themeColor="text1"/>
          <w:kern w:val="0"/>
          <w:sz w:val="28"/>
          <w:szCs w:val="24"/>
          <w14:textFill>
            <w14:solidFill>
              <w14:schemeClr w14:val="tx1"/>
            </w14:solidFill>
          </w14:textFill>
        </w:rPr>
        <w:t>总体工作，统筹协调</w:t>
      </w:r>
      <w:r>
        <w:rPr>
          <w:rFonts w:hint="eastAsia" w:ascii="Times New Roman" w:hAnsi="Times New Roman" w:eastAsia="仿宋_GB2312" w:cs="Times New Roman"/>
          <w:color w:val="000000" w:themeColor="text1"/>
          <w:kern w:val="0"/>
          <w:sz w:val="28"/>
          <w:szCs w:val="24"/>
          <w14:textFill>
            <w14:solidFill>
              <w14:schemeClr w14:val="tx1"/>
            </w14:solidFill>
          </w14:textFill>
        </w:rPr>
        <w:t>市</w:t>
      </w:r>
      <w:r>
        <w:rPr>
          <w:rFonts w:ascii="Times New Roman" w:hAnsi="Times New Roman" w:eastAsia="仿宋_GB2312" w:cs="Times New Roman"/>
          <w:color w:val="000000" w:themeColor="text1"/>
          <w:sz w:val="28"/>
          <w:szCs w:val="24"/>
          <w14:textFill>
            <w14:solidFill>
              <w14:schemeClr w14:val="tx1"/>
            </w14:solidFill>
          </w14:textFill>
        </w:rPr>
        <w:t>规划</w:t>
      </w:r>
      <w:r>
        <w:rPr>
          <w:rFonts w:hint="eastAsia" w:ascii="Times New Roman" w:hAnsi="Times New Roman" w:eastAsia="仿宋_GB2312" w:cs="Times New Roman"/>
          <w:color w:val="000000" w:themeColor="text1"/>
          <w:sz w:val="28"/>
          <w:szCs w:val="24"/>
          <w14:textFill>
            <w14:solidFill>
              <w14:schemeClr w14:val="tx1"/>
            </w14:solidFill>
          </w14:textFill>
        </w:rPr>
        <w:t>委、市</w:t>
      </w:r>
      <w:r>
        <w:rPr>
          <w:rFonts w:ascii="Times New Roman" w:hAnsi="Times New Roman" w:eastAsia="仿宋_GB2312" w:cs="Times New Roman"/>
          <w:color w:val="000000" w:themeColor="text1"/>
          <w:sz w:val="28"/>
          <w:szCs w:val="24"/>
          <w14:textFill>
            <w14:solidFill>
              <w14:schemeClr w14:val="tx1"/>
            </w14:solidFill>
          </w14:textFill>
        </w:rPr>
        <w:t>国土</w:t>
      </w:r>
      <w:r>
        <w:rPr>
          <w:rFonts w:hint="eastAsia" w:ascii="Times New Roman" w:hAnsi="Times New Roman" w:eastAsia="仿宋_GB2312" w:cs="Times New Roman"/>
          <w:color w:val="000000" w:themeColor="text1"/>
          <w:sz w:val="28"/>
          <w:szCs w:val="24"/>
          <w14:textFill>
            <w14:solidFill>
              <w14:schemeClr w14:val="tx1"/>
            </w14:solidFill>
          </w14:textFill>
        </w:rPr>
        <w:t>资源局、市发展改革局、市财政局等部门</w:t>
      </w:r>
      <w:r>
        <w:rPr>
          <w:rFonts w:ascii="Times New Roman" w:hAnsi="Times New Roman" w:eastAsia="仿宋_GB2312" w:cs="Times New Roman"/>
          <w:color w:val="000000" w:themeColor="text1"/>
          <w:sz w:val="28"/>
          <w:szCs w:val="24"/>
          <w14:textFill>
            <w14:solidFill>
              <w14:schemeClr w14:val="tx1"/>
            </w14:solidFill>
          </w14:textFill>
        </w:rPr>
        <w:t>，</w:t>
      </w:r>
      <w:r>
        <w:rPr>
          <w:rFonts w:hint="eastAsia" w:ascii="Times New Roman" w:hAnsi="Times New Roman" w:eastAsia="仿宋_GB2312" w:cs="Times New Roman"/>
          <w:color w:val="000000" w:themeColor="text1"/>
          <w:sz w:val="28"/>
          <w:szCs w:val="24"/>
          <w14:textFill>
            <w14:solidFill>
              <w14:schemeClr w14:val="tx1"/>
            </w14:solidFill>
          </w14:textFill>
        </w:rPr>
        <w:t>通过联席会议制度，分工协作，</w:t>
      </w:r>
      <w:r>
        <w:rPr>
          <w:rFonts w:ascii="Times New Roman" w:hAnsi="Times New Roman" w:eastAsia="仿宋_GB2312" w:cs="Times New Roman"/>
          <w:color w:val="000000" w:themeColor="text1"/>
          <w:sz w:val="28"/>
          <w:szCs w:val="24"/>
          <w14:textFill>
            <w14:solidFill>
              <w14:schemeClr w14:val="tx1"/>
            </w14:solidFill>
          </w14:textFill>
        </w:rPr>
        <w:t>强化宏观指导和统筹引导，</w:t>
      </w:r>
      <w:r>
        <w:rPr>
          <w:rFonts w:hint="eastAsia" w:ascii="Times New Roman" w:hAnsi="Times New Roman" w:eastAsia="仿宋_GB2312" w:cs="Times New Roman"/>
          <w:color w:val="000000" w:themeColor="text1"/>
          <w:sz w:val="28"/>
          <w:szCs w:val="24"/>
          <w14:textFill>
            <w14:solidFill>
              <w14:schemeClr w14:val="tx1"/>
            </w14:solidFill>
          </w14:textFill>
        </w:rPr>
        <w:t>协调推进。</w:t>
      </w:r>
      <w:r>
        <w:rPr>
          <w:rFonts w:ascii="Times New Roman" w:hAnsi="Times New Roman" w:eastAsia="仿宋_GB2312" w:cs="Times New Roman"/>
          <w:color w:val="000000" w:themeColor="text1"/>
          <w:sz w:val="28"/>
          <w:szCs w:val="24"/>
          <w14:textFill>
            <w14:solidFill>
              <w14:schemeClr w14:val="tx1"/>
            </w14:solidFill>
          </w14:textFill>
        </w:rPr>
        <w:t>各</w:t>
      </w:r>
      <w:r>
        <w:rPr>
          <w:rFonts w:hint="eastAsia" w:ascii="Times New Roman" w:hAnsi="Times New Roman" w:eastAsia="仿宋_GB2312" w:cs="Times New Roman"/>
          <w:color w:val="000000" w:themeColor="text1"/>
          <w:sz w:val="28"/>
          <w:szCs w:val="24"/>
          <w14:textFill>
            <w14:solidFill>
              <w14:schemeClr w14:val="tx1"/>
            </w14:solidFill>
          </w14:textFill>
        </w:rPr>
        <w:t>部门</w:t>
      </w:r>
      <w:r>
        <w:rPr>
          <w:rFonts w:ascii="Times New Roman" w:hAnsi="Times New Roman" w:eastAsia="仿宋_GB2312" w:cs="Times New Roman"/>
          <w:color w:val="000000" w:themeColor="text1"/>
          <w:sz w:val="28"/>
          <w:szCs w:val="24"/>
          <w14:textFill>
            <w14:solidFill>
              <w14:schemeClr w14:val="tx1"/>
            </w14:solidFill>
          </w14:textFill>
        </w:rPr>
        <w:t>要根据职责分工</w:t>
      </w:r>
      <w:r>
        <w:rPr>
          <w:rFonts w:hint="eastAsia" w:ascii="Times New Roman" w:hAnsi="Times New Roman" w:eastAsia="仿宋_GB2312" w:cs="Times New Roman"/>
          <w:color w:val="000000" w:themeColor="text1"/>
          <w:sz w:val="28"/>
          <w:szCs w:val="24"/>
          <w14:textFill>
            <w14:solidFill>
              <w14:schemeClr w14:val="tx1"/>
            </w14:solidFill>
          </w14:textFill>
        </w:rPr>
        <w:t>，明确责任部门，加强政策研究，制定实施方案，及时研究解决发展中的问题，确保各项工作顺利开展。</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tcPr>
          <w:p>
            <w:pPr>
              <w:spacing w:line="360" w:lineRule="auto"/>
              <w:jc w:val="center"/>
              <w:rPr>
                <w:rFonts w:ascii="Times New Roman" w:hAnsi="Times New Roman" w:eastAsia="仿宋_GB2312" w:cs="Times New Roman"/>
                <w:b/>
                <w:color w:val="000000" w:themeColor="text1"/>
                <w:sz w:val="24"/>
                <w:szCs w:val="24"/>
                <w14:textFill>
                  <w14:solidFill>
                    <w14:schemeClr w14:val="tx1"/>
                  </w14:solidFill>
                </w14:textFill>
              </w:rPr>
            </w:pPr>
            <w:r>
              <w:rPr>
                <w:rFonts w:hint="eastAsia" w:ascii="Times New Roman" w:hAnsi="Times New Roman" w:eastAsia="仿宋_GB2312" w:cs="Times New Roman"/>
                <w:b/>
                <w:color w:val="000000" w:themeColor="text1"/>
                <w:sz w:val="24"/>
                <w:szCs w:val="24"/>
                <w14:textFill>
                  <w14:solidFill>
                    <w14:schemeClr w14:val="tx1"/>
                  </w14:solidFill>
                </w14:textFill>
              </w:rPr>
              <w:t>责任单位</w:t>
            </w:r>
          </w:p>
        </w:tc>
        <w:tc>
          <w:tcPr>
            <w:tcW w:w="6854" w:type="dxa"/>
          </w:tcPr>
          <w:p>
            <w:pPr>
              <w:spacing w:line="360" w:lineRule="auto"/>
              <w:jc w:val="center"/>
              <w:rPr>
                <w:rFonts w:ascii="Times New Roman" w:hAnsi="Times New Roman" w:eastAsia="仿宋_GB2312" w:cs="Times New Roman"/>
                <w:b/>
                <w:color w:val="000000" w:themeColor="text1"/>
                <w:sz w:val="24"/>
                <w:szCs w:val="24"/>
                <w14:textFill>
                  <w14:solidFill>
                    <w14:schemeClr w14:val="tx1"/>
                  </w14:solidFill>
                </w14:textFill>
              </w:rPr>
            </w:pPr>
            <w:r>
              <w:rPr>
                <w:rFonts w:hint="eastAsia" w:ascii="Times New Roman" w:hAnsi="Times New Roman" w:eastAsia="仿宋_GB2312" w:cs="Times New Roman"/>
                <w:b/>
                <w:color w:val="000000" w:themeColor="text1"/>
                <w:sz w:val="24"/>
                <w:szCs w:val="24"/>
                <w14:textFill>
                  <w14:solidFill>
                    <w14:schemeClr w14:val="tx1"/>
                  </w14:solidFill>
                </w14:textFill>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Align w:val="center"/>
          </w:tcPr>
          <w:p>
            <w:pPr>
              <w:spacing w:line="360" w:lineRule="auto"/>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olor w:val="000000" w:themeColor="text1"/>
                <w:sz w:val="24"/>
                <w:szCs w:val="24"/>
                <w14:textFill>
                  <w14:solidFill>
                    <w14:schemeClr w14:val="tx1"/>
                  </w14:solidFill>
                </w14:textFill>
              </w:rPr>
              <w:t>市住房城乡建设局</w:t>
            </w:r>
          </w:p>
        </w:tc>
        <w:tc>
          <w:tcPr>
            <w:tcW w:w="6854" w:type="dxa"/>
          </w:tcPr>
          <w:p>
            <w:pPr>
              <w:spacing w:line="360" w:lineRule="auto"/>
              <w:jc w:val="lef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负责牵头制定装配式建筑发展的政策意见；负责装配式建筑规划编制、技术推进、试点示范、工程项目评价等工作；建立适应装配式建筑发展模式的招投标管理、工程建设计价、关键技术审核、质量安全管理等方面的管理制度；强化培训宣传，制定年度工作计划，及时通报装配式建筑发展推进工作情况，协调各成员单位及时解决推进过程中遇到的困难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Align w:val="center"/>
          </w:tcPr>
          <w:p>
            <w:pPr>
              <w:spacing w:line="360" w:lineRule="auto"/>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olor w:val="000000" w:themeColor="text1"/>
                <w:sz w:val="24"/>
                <w:szCs w:val="24"/>
                <w14:textFill>
                  <w14:solidFill>
                    <w14:schemeClr w14:val="tx1"/>
                  </w14:solidFill>
                </w14:textFill>
              </w:rPr>
              <w:t>市规划委</w:t>
            </w:r>
          </w:p>
        </w:tc>
        <w:tc>
          <w:tcPr>
            <w:tcW w:w="6854" w:type="dxa"/>
          </w:tcPr>
          <w:p>
            <w:pPr>
              <w:spacing w:line="360" w:lineRule="auto"/>
              <w:jc w:val="lef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项目规划条件中明确对装配式建筑的要求。协同住建局共同研究制定装配式商品房项目容积率返还优惠政策。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Align w:val="center"/>
          </w:tcPr>
          <w:p>
            <w:pPr>
              <w:spacing w:line="360" w:lineRule="auto"/>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olor w:val="000000" w:themeColor="text1"/>
                <w:sz w:val="24"/>
                <w:szCs w:val="24"/>
                <w14:textFill>
                  <w14:solidFill>
                    <w14:schemeClr w14:val="tx1"/>
                  </w14:solidFill>
                </w14:textFill>
              </w:rPr>
              <w:t>市发展改革局</w:t>
            </w:r>
          </w:p>
        </w:tc>
        <w:tc>
          <w:tcPr>
            <w:tcW w:w="6854" w:type="dxa"/>
          </w:tcPr>
          <w:p>
            <w:pPr>
              <w:spacing w:line="360" w:lineRule="auto"/>
              <w:jc w:val="lef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在项目立项、发展政策等方面予以支持。完善政府投资（含使用国有资金）的装配式建筑项目的审批管理。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Align w:val="center"/>
          </w:tcPr>
          <w:p>
            <w:pPr>
              <w:spacing w:line="360" w:lineRule="auto"/>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olor w:val="000000" w:themeColor="text1"/>
                <w:sz w:val="24"/>
                <w:szCs w:val="24"/>
                <w14:textFill>
                  <w14:solidFill>
                    <w14:schemeClr w14:val="tx1"/>
                  </w14:solidFill>
                </w14:textFill>
              </w:rPr>
              <w:t>市国土资源局</w:t>
            </w:r>
          </w:p>
        </w:tc>
        <w:tc>
          <w:tcPr>
            <w:tcW w:w="6854" w:type="dxa"/>
          </w:tcPr>
          <w:p>
            <w:pPr>
              <w:spacing w:line="360" w:lineRule="auto"/>
              <w:jc w:val="lef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做好装配式建筑项目的用地保障。将装配式建筑建设要求列入土地出让公告，并在土地出让合同或土地划拨决定书中予以载明。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Align w:val="center"/>
          </w:tcPr>
          <w:p>
            <w:pPr>
              <w:spacing w:line="360" w:lineRule="auto"/>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olor w:val="000000" w:themeColor="text1"/>
                <w:sz w:val="24"/>
                <w:szCs w:val="24"/>
                <w14:textFill>
                  <w14:solidFill>
                    <w14:schemeClr w14:val="tx1"/>
                  </w14:solidFill>
                </w14:textFill>
              </w:rPr>
              <w:t>市科技和工业信息化局</w:t>
            </w:r>
          </w:p>
        </w:tc>
        <w:tc>
          <w:tcPr>
            <w:tcW w:w="6854" w:type="dxa"/>
          </w:tcPr>
          <w:p>
            <w:pPr>
              <w:spacing w:line="360" w:lineRule="auto"/>
              <w:jc w:val="lef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优先推荐拥有成套装配式建筑技术体系和自主知识产权的优势企业申报高新技术企业，依法依规给予高新技术产业政策。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Align w:val="center"/>
          </w:tcPr>
          <w:p>
            <w:pPr>
              <w:spacing w:line="360" w:lineRule="auto"/>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olor w:val="000000" w:themeColor="text1"/>
                <w:sz w:val="24"/>
                <w:szCs w:val="24"/>
                <w14:textFill>
                  <w14:solidFill>
                    <w14:schemeClr w14:val="tx1"/>
                  </w14:solidFill>
                </w14:textFill>
              </w:rPr>
              <w:t>市人力资源社会保障局</w:t>
            </w:r>
          </w:p>
        </w:tc>
        <w:tc>
          <w:tcPr>
            <w:tcW w:w="6854" w:type="dxa"/>
          </w:tcPr>
          <w:p>
            <w:pPr>
              <w:spacing w:line="360" w:lineRule="auto"/>
              <w:jc w:val="lef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通过各类人才计划，引进和培养一批装配式建筑专业技术人才及管理人才。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Align w:val="center"/>
          </w:tcPr>
          <w:p>
            <w:pPr>
              <w:spacing w:line="360" w:lineRule="auto"/>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olor w:val="000000" w:themeColor="text1"/>
                <w:sz w:val="24"/>
                <w:szCs w:val="24"/>
                <w14:textFill>
                  <w14:solidFill>
                    <w14:schemeClr w14:val="tx1"/>
                  </w14:solidFill>
                </w14:textFill>
              </w:rPr>
              <w:t>市财政局</w:t>
            </w:r>
          </w:p>
        </w:tc>
        <w:tc>
          <w:tcPr>
            <w:tcW w:w="6854" w:type="dxa"/>
          </w:tcPr>
          <w:p>
            <w:pPr>
              <w:spacing w:line="360" w:lineRule="auto"/>
              <w:jc w:val="lef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研究制定并落实支持装配式建筑发展的财税政策，统筹资金，加大投入，并对资金使用管理情况和绩效情况实施监管。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Align w:val="center"/>
          </w:tcPr>
          <w:p>
            <w:pPr>
              <w:spacing w:line="360" w:lineRule="auto"/>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lang w:eastAsia="zh-CN"/>
                <w14:textFill>
                  <w14:solidFill>
                    <w14:schemeClr w14:val="tx1"/>
                  </w14:solidFill>
                </w14:textFill>
              </w:rPr>
              <w:t>五指山</w:t>
            </w:r>
            <w:r>
              <w:rPr>
                <w:rFonts w:hint="eastAsia" w:ascii="Times New Roman" w:hAnsi="Times New Roman" w:eastAsia="仿宋_GB2312" w:cs="Times New Roman"/>
                <w:color w:val="000000" w:themeColor="text1"/>
                <w:sz w:val="24"/>
                <w:szCs w:val="24"/>
                <w14:textFill>
                  <w14:solidFill>
                    <w14:schemeClr w14:val="tx1"/>
                  </w14:solidFill>
                </w14:textFill>
              </w:rPr>
              <w:t>住房公积金管理局</w:t>
            </w:r>
          </w:p>
        </w:tc>
        <w:tc>
          <w:tcPr>
            <w:tcW w:w="6854" w:type="dxa"/>
          </w:tcPr>
          <w:p>
            <w:pPr>
              <w:spacing w:line="360" w:lineRule="auto"/>
              <w:jc w:val="lef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对于使用住房公积金贷款购买装配式商品住房的，优先放贷。</w:t>
            </w:r>
          </w:p>
        </w:tc>
      </w:tr>
    </w:tbl>
    <w:p>
      <w:pPr>
        <w:pStyle w:val="3"/>
        <w:numPr>
          <w:ilvl w:val="255"/>
          <w:numId w:val="0"/>
        </w:numPr>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105" w:name="_Toc18693"/>
      <w:bookmarkStart w:id="106" w:name="_Toc529282351"/>
      <w:bookmarkStart w:id="107" w:name="_Toc509571597"/>
      <w:bookmarkStart w:id="108" w:name="_Toc28014"/>
      <w:bookmarkStart w:id="109" w:name="_Toc26057"/>
      <w:bookmarkStart w:id="110" w:name="_Toc509571333"/>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二、加强考核监督</w:t>
      </w:r>
      <w:bookmarkEnd w:id="105"/>
      <w:bookmarkEnd w:id="106"/>
      <w:bookmarkEnd w:id="107"/>
      <w:bookmarkEnd w:id="108"/>
      <w:bookmarkEnd w:id="109"/>
      <w:bookmarkEnd w:id="110"/>
    </w:p>
    <w:p>
      <w:pPr>
        <w:spacing w:line="360" w:lineRule="auto"/>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建立健全装配式建筑推进工作考核评价和监督问责机制，明确</w:t>
      </w:r>
      <w:r>
        <w:rPr>
          <w:rFonts w:hint="eastAsia" w:ascii="Times New Roman" w:hAnsi="Times New Roman" w:eastAsia="仿宋_GB2312" w:cs="Times New Roman"/>
          <w:color w:val="000000" w:themeColor="text1"/>
          <w:sz w:val="28"/>
          <w:szCs w:val="28"/>
          <w14:textFill>
            <w14:solidFill>
              <w14:schemeClr w14:val="tx1"/>
            </w14:solidFill>
          </w14:textFill>
        </w:rPr>
        <w:t>市级及各相关</w:t>
      </w:r>
      <w:r>
        <w:rPr>
          <w:rFonts w:ascii="Times New Roman" w:hAnsi="Times New Roman" w:eastAsia="仿宋_GB2312" w:cs="Times New Roman"/>
          <w:color w:val="000000" w:themeColor="text1"/>
          <w:sz w:val="28"/>
          <w:szCs w:val="28"/>
          <w14:textFill>
            <w14:solidFill>
              <w14:schemeClr w14:val="tx1"/>
            </w14:solidFill>
          </w14:textFill>
        </w:rPr>
        <w:t>部门</w:t>
      </w:r>
      <w:r>
        <w:rPr>
          <w:rFonts w:hint="eastAsia" w:ascii="Times New Roman" w:hAnsi="Times New Roman" w:eastAsia="仿宋_GB2312" w:cs="Times New Roman"/>
          <w:color w:val="000000" w:themeColor="text1"/>
          <w:sz w:val="28"/>
          <w:szCs w:val="28"/>
          <w14:textFill>
            <w14:solidFill>
              <w14:schemeClr w14:val="tx1"/>
            </w14:solidFill>
          </w14:textFill>
        </w:rPr>
        <w:t>的</w:t>
      </w:r>
      <w:r>
        <w:rPr>
          <w:rFonts w:ascii="Times New Roman" w:hAnsi="Times New Roman" w:eastAsia="仿宋_GB2312" w:cs="Times New Roman"/>
          <w:color w:val="000000" w:themeColor="text1"/>
          <w:sz w:val="28"/>
          <w:szCs w:val="28"/>
          <w14:textFill>
            <w14:solidFill>
              <w14:schemeClr w14:val="tx1"/>
            </w14:solidFill>
          </w14:textFill>
        </w:rPr>
        <w:t>年度工作目标</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工作任务和工作责任</w:t>
      </w:r>
      <w:r>
        <w:rPr>
          <w:rFonts w:hint="eastAsia" w:ascii="Times New Roman" w:hAnsi="Times New Roman" w:eastAsia="仿宋_GB2312" w:cs="Times New Roman"/>
          <w:color w:val="000000" w:themeColor="text1"/>
          <w:sz w:val="28"/>
          <w:szCs w:val="28"/>
          <w14:textFill>
            <w14:solidFill>
              <w14:schemeClr w14:val="tx1"/>
            </w14:solidFill>
          </w14:textFill>
        </w:rPr>
        <w:t>，把装配式建筑发展情况列入重点考核督查项目，作为建设领域一项重要考核指标，建立装配式建筑统计上报制度，加强装配式建筑企业和装配式建筑项目数据库建设，定期实施</w:t>
      </w:r>
      <w:r>
        <w:rPr>
          <w:rFonts w:ascii="Times New Roman" w:hAnsi="Times New Roman" w:eastAsia="仿宋_GB2312" w:cs="Times New Roman"/>
          <w:color w:val="000000" w:themeColor="text1"/>
          <w:sz w:val="28"/>
          <w:szCs w:val="28"/>
          <w14:textFill>
            <w14:solidFill>
              <w14:schemeClr w14:val="tx1"/>
            </w14:solidFill>
          </w14:textFill>
        </w:rPr>
        <w:t>专项督查和指导，</w:t>
      </w:r>
      <w:r>
        <w:rPr>
          <w:rFonts w:hint="eastAsia" w:ascii="Times New Roman" w:hAnsi="Times New Roman" w:eastAsia="仿宋_GB2312" w:cs="Times New Roman"/>
          <w:color w:val="000000" w:themeColor="text1"/>
          <w:sz w:val="28"/>
          <w:szCs w:val="28"/>
          <w14:textFill>
            <w14:solidFill>
              <w14:schemeClr w14:val="tx1"/>
            </w14:solidFill>
          </w14:textFill>
        </w:rPr>
        <w:t>从项目数量、项目储备、开工情况、竣工情况和</w:t>
      </w:r>
      <w:r>
        <w:rPr>
          <w:rFonts w:ascii="Times New Roman" w:hAnsi="Times New Roman" w:eastAsia="仿宋_GB2312" w:cs="Times New Roman"/>
          <w:color w:val="000000" w:themeColor="text1"/>
          <w:sz w:val="28"/>
          <w:szCs w:val="28"/>
          <w14:textFill>
            <w14:solidFill>
              <w14:schemeClr w14:val="tx1"/>
            </w14:solidFill>
          </w14:textFill>
        </w:rPr>
        <w:t>质量安全等</w:t>
      </w:r>
      <w:r>
        <w:rPr>
          <w:rFonts w:hint="eastAsia" w:ascii="Times New Roman" w:hAnsi="Times New Roman" w:eastAsia="仿宋_GB2312" w:cs="Times New Roman"/>
          <w:color w:val="000000" w:themeColor="text1"/>
          <w:sz w:val="28"/>
          <w:szCs w:val="28"/>
          <w14:textFill>
            <w14:solidFill>
              <w14:schemeClr w14:val="tx1"/>
            </w14:solidFill>
          </w14:textFill>
        </w:rPr>
        <w:t>方面进行综合评价，通报考核结果，</w:t>
      </w:r>
      <w:r>
        <w:rPr>
          <w:rFonts w:ascii="Times New Roman" w:hAnsi="Times New Roman" w:eastAsia="仿宋_GB2312" w:cs="Times New Roman"/>
          <w:color w:val="000000" w:themeColor="text1"/>
          <w:sz w:val="28"/>
          <w:szCs w:val="28"/>
          <w14:textFill>
            <w14:solidFill>
              <w14:schemeClr w14:val="tx1"/>
            </w14:solidFill>
          </w14:textFill>
        </w:rPr>
        <w:t>总结和推广先进经验，对工作不力的实施问责</w:t>
      </w:r>
      <w:r>
        <w:rPr>
          <w:rFonts w:hint="eastAsia" w:ascii="Times New Roman" w:hAnsi="Times New Roman" w:eastAsia="仿宋_GB2312" w:cs="Times New Roman"/>
          <w:color w:val="000000" w:themeColor="text1"/>
          <w:sz w:val="28"/>
          <w:szCs w:val="28"/>
          <w14:textFill>
            <w14:solidFill>
              <w14:schemeClr w14:val="tx1"/>
            </w14:solidFill>
          </w14:textFill>
        </w:rPr>
        <w:t>，扎实推进装配式建筑全面发展。</w:t>
      </w:r>
    </w:p>
    <w:p>
      <w:pPr>
        <w:pStyle w:val="3"/>
        <w:numPr>
          <w:ilvl w:val="255"/>
          <w:numId w:val="0"/>
        </w:numPr>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111" w:name="_Toc509571334"/>
      <w:bookmarkStart w:id="112" w:name="_Toc32519"/>
      <w:bookmarkStart w:id="113" w:name="_Toc529282352"/>
      <w:bookmarkStart w:id="114" w:name="_Toc509571598"/>
      <w:bookmarkStart w:id="115" w:name="_Toc28417"/>
      <w:bookmarkStart w:id="116" w:name="_Toc10647"/>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三、优化审批制度</w:t>
      </w:r>
      <w:bookmarkEnd w:id="111"/>
      <w:bookmarkEnd w:id="112"/>
      <w:bookmarkEnd w:id="113"/>
      <w:bookmarkEnd w:id="114"/>
      <w:bookmarkEnd w:id="115"/>
      <w:bookmarkEnd w:id="116"/>
    </w:p>
    <w:p>
      <w:pPr>
        <w:spacing w:line="360" w:lineRule="auto"/>
        <w:ind w:firstLine="560" w:firstLineChars="20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将发展装配式建筑相关要求落实到项目规划审批、土地供应、项目立项、设计文件审查等各环节；加强装配式建筑项目施工许可、施工登记和施工质量安全管理，对不符合验收标准的项目不予进行竣工备案，逐步完善审批制度，全面推进装配式建筑发展。</w:t>
      </w:r>
    </w:p>
    <w:p>
      <w:pPr>
        <w:spacing w:line="240" w:lineRule="atLeast"/>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表6-</w:t>
      </w:r>
      <w:r>
        <w:rPr>
          <w:rFonts w:hint="eastAsia" w:ascii="Times New Roman" w:hAnsi="Times New Roman" w:eastAsia="仿宋"/>
          <w:b/>
          <w:bCs/>
          <w:color w:val="000000" w:themeColor="text1"/>
          <w:sz w:val="24"/>
          <w:szCs w:val="24"/>
          <w14:textFill>
            <w14:solidFill>
              <w14:schemeClr w14:val="tx1"/>
            </w14:solidFill>
          </w14:textFill>
        </w:rPr>
        <w:t>1-1</w:t>
      </w:r>
      <w:r>
        <w:rPr>
          <w:rFonts w:ascii="Times New Roman" w:hAnsi="Times New Roman" w:eastAsia="仿宋"/>
          <w:b/>
          <w:bCs/>
          <w:color w:val="000000" w:themeColor="text1"/>
          <w:sz w:val="24"/>
          <w:szCs w:val="24"/>
          <w14:textFill>
            <w14:solidFill>
              <w14:schemeClr w14:val="tx1"/>
            </w14:solidFill>
          </w14:textFill>
        </w:rPr>
        <w:t xml:space="preserve"> </w:t>
      </w:r>
      <w:r>
        <w:rPr>
          <w:rFonts w:hint="eastAsia" w:ascii="Times New Roman" w:hAnsi="Times New Roman" w:eastAsia="仿宋"/>
          <w:b/>
          <w:bCs/>
          <w:color w:val="000000" w:themeColor="text1"/>
          <w:sz w:val="24"/>
          <w:szCs w:val="24"/>
          <w14:textFill>
            <w14:solidFill>
              <w14:schemeClr w14:val="tx1"/>
            </w14:solidFill>
          </w14:textFill>
        </w:rPr>
        <w:t>五指山市</w:t>
      </w:r>
      <w:r>
        <w:rPr>
          <w:rFonts w:ascii="Times New Roman" w:hAnsi="Times New Roman" w:eastAsia="仿宋"/>
          <w:b/>
          <w:bCs/>
          <w:color w:val="000000" w:themeColor="text1"/>
          <w:sz w:val="24"/>
          <w:szCs w:val="24"/>
          <w14:textFill>
            <w14:solidFill>
              <w14:schemeClr w14:val="tx1"/>
            </w14:solidFill>
          </w14:textFill>
        </w:rPr>
        <w:t>装配式建筑</w:t>
      </w:r>
      <w:r>
        <w:rPr>
          <w:rFonts w:hint="eastAsia" w:ascii="Times New Roman" w:hAnsi="Times New Roman" w:eastAsia="仿宋"/>
          <w:b/>
          <w:bCs/>
          <w:color w:val="000000" w:themeColor="text1"/>
          <w:sz w:val="24"/>
          <w:szCs w:val="24"/>
          <w14:textFill>
            <w14:solidFill>
              <w14:schemeClr w14:val="tx1"/>
            </w14:solidFill>
          </w14:textFill>
        </w:rPr>
        <w:t>审批制度</w:t>
      </w:r>
    </w:p>
    <w:tbl>
      <w:tblPr>
        <w:tblStyle w:val="21"/>
        <w:tblW w:w="85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1477"/>
        <w:gridCol w:w="5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仿宋" w:cs="Times New Roman"/>
                <w:b/>
                <w:bCs/>
                <w:color w:val="000000" w:themeColor="text1"/>
                <w:sz w:val="24"/>
                <w:szCs w:val="24"/>
                <w14:textFill>
                  <w14:solidFill>
                    <w14:schemeClr w14:val="tx1"/>
                  </w14:solidFill>
                </w14:textFill>
              </w:rPr>
            </w:pPr>
            <w:bookmarkStart w:id="147" w:name="_GoBack"/>
            <w:bookmarkEnd w:id="147"/>
            <w:r>
              <w:rPr>
                <w:rFonts w:hint="eastAsia" w:ascii="Times New Roman" w:hAnsi="Times New Roman" w:eastAsia="仿宋" w:cs="Times New Roman"/>
                <w:b/>
                <w:bCs/>
                <w:color w:val="000000" w:themeColor="text1"/>
                <w:sz w:val="24"/>
                <w:szCs w:val="24"/>
                <w14:textFill>
                  <w14:solidFill>
                    <w14:schemeClr w14:val="tx1"/>
                  </w14:solidFill>
                </w14:textFill>
              </w:rPr>
              <w:t>项目建设环节</w:t>
            </w:r>
          </w:p>
        </w:tc>
        <w:tc>
          <w:tcPr>
            <w:tcW w:w="147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仿宋" w:cs="Times New Roman"/>
                <w:b/>
                <w:bCs/>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部门</w:t>
            </w:r>
          </w:p>
        </w:tc>
        <w:tc>
          <w:tcPr>
            <w:tcW w:w="529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仿宋" w:cs="Times New Roman"/>
                <w:b/>
                <w:bCs/>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pPr>
              <w:numPr>
                <w:ilvl w:val="255"/>
                <w:numId w:val="0"/>
              </w:numPr>
              <w:spacing w:line="360" w:lineRule="auto"/>
              <w:jc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土地出让阶段</w:t>
            </w:r>
          </w:p>
        </w:tc>
        <w:tc>
          <w:tcPr>
            <w:tcW w:w="1477" w:type="dxa"/>
            <w:tcBorders>
              <w:top w:val="single" w:color="auto" w:sz="4" w:space="0"/>
              <w:left w:val="single" w:color="auto" w:sz="4" w:space="0"/>
              <w:bottom w:val="single" w:color="auto" w:sz="4" w:space="0"/>
              <w:right w:val="single" w:color="auto" w:sz="4" w:space="0"/>
            </w:tcBorders>
            <w:shd w:val="clear" w:color="auto" w:fill="auto"/>
            <w:vAlign w:val="center"/>
          </w:tcPr>
          <w:p>
            <w:pPr>
              <w:numPr>
                <w:ilvl w:val="255"/>
                <w:numId w:val="0"/>
              </w:numPr>
              <w:spacing w:line="360" w:lineRule="auto"/>
              <w:jc w:val="center"/>
              <w:rPr>
                <w:rFonts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14:textFill>
                  <w14:solidFill>
                    <w14:schemeClr w14:val="tx1"/>
                  </w14:solidFill>
                </w14:textFill>
              </w:rPr>
              <w:t>市国土资源局</w:t>
            </w:r>
          </w:p>
        </w:tc>
        <w:tc>
          <w:tcPr>
            <w:tcW w:w="5299" w:type="dxa"/>
            <w:tcBorders>
              <w:top w:val="single" w:color="auto" w:sz="4" w:space="0"/>
              <w:left w:val="single" w:color="auto" w:sz="4" w:space="0"/>
              <w:bottom w:val="single" w:color="auto" w:sz="4" w:space="0"/>
              <w:right w:val="single" w:color="auto" w:sz="4" w:space="0"/>
            </w:tcBorders>
            <w:shd w:val="clear" w:color="auto" w:fill="auto"/>
            <w:vAlign w:val="center"/>
          </w:tcPr>
          <w:p>
            <w:pPr>
              <w:numPr>
                <w:ilvl w:val="255"/>
                <w:numId w:val="0"/>
              </w:numPr>
              <w:spacing w:line="360" w:lineRule="auto"/>
              <w:jc w:val="center"/>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在土地</w:t>
            </w:r>
            <w:r>
              <w:rPr>
                <w:rFonts w:hint="eastAsia" w:ascii="Times New Roman" w:hAnsi="Times New Roman" w:eastAsia="仿宋" w:cs="Times New Roman"/>
                <w:color w:val="000000" w:themeColor="text1"/>
                <w:sz w:val="24"/>
                <w:szCs w:val="24"/>
                <w14:textFill>
                  <w14:solidFill>
                    <w14:schemeClr w14:val="tx1"/>
                  </w14:solidFill>
                </w14:textFill>
              </w:rPr>
              <w:t>出让文件</w:t>
            </w:r>
            <w:r>
              <w:rPr>
                <w:rFonts w:ascii="Times New Roman" w:hAnsi="Times New Roman" w:eastAsia="仿宋" w:cs="Times New Roman"/>
                <w:color w:val="000000" w:themeColor="text1"/>
                <w:sz w:val="24"/>
                <w:szCs w:val="24"/>
                <w14:textFill>
                  <w14:solidFill>
                    <w14:schemeClr w14:val="tx1"/>
                  </w14:solidFill>
                </w14:textFill>
              </w:rPr>
              <w:t>中予以落实</w:t>
            </w:r>
            <w:r>
              <w:rPr>
                <w:rFonts w:hint="eastAsia" w:ascii="Times New Roman" w:hAnsi="Times New Roman" w:eastAsia="仿宋" w:cs="Times New Roman"/>
                <w:color w:val="000000" w:themeColor="text1"/>
                <w:sz w:val="24"/>
                <w:szCs w:val="24"/>
                <w14:textFill>
                  <w14:solidFill>
                    <w14:schemeClr w14:val="tx1"/>
                  </w14:solidFill>
                </w14:textFill>
              </w:rPr>
              <w:t>装配式建筑的实施要求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pPr>
              <w:numPr>
                <w:ilvl w:val="255"/>
                <w:numId w:val="0"/>
              </w:numPr>
              <w:spacing w:line="360" w:lineRule="auto"/>
              <w:jc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立项阶段</w:t>
            </w:r>
          </w:p>
        </w:tc>
        <w:tc>
          <w:tcPr>
            <w:tcW w:w="1477" w:type="dxa"/>
            <w:tcBorders>
              <w:top w:val="single" w:color="auto" w:sz="4" w:space="0"/>
              <w:left w:val="single" w:color="auto" w:sz="4" w:space="0"/>
              <w:bottom w:val="single" w:color="auto" w:sz="4" w:space="0"/>
              <w:right w:val="single" w:color="auto" w:sz="4" w:space="0"/>
            </w:tcBorders>
            <w:shd w:val="clear" w:color="auto" w:fill="auto"/>
            <w:vAlign w:val="center"/>
          </w:tcPr>
          <w:p>
            <w:pPr>
              <w:numPr>
                <w:ilvl w:val="255"/>
                <w:numId w:val="0"/>
              </w:numPr>
              <w:spacing w:line="360" w:lineRule="auto"/>
              <w:jc w:val="center"/>
              <w:rPr>
                <w:rFonts w:ascii="仿宋" w:hAnsi="仿宋" w:eastAsia="仿宋" w:cs="Times New Roman"/>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市发展改革局</w:t>
            </w:r>
          </w:p>
        </w:tc>
        <w:tc>
          <w:tcPr>
            <w:tcW w:w="5299" w:type="dxa"/>
            <w:tcBorders>
              <w:top w:val="single" w:color="auto" w:sz="4" w:space="0"/>
              <w:left w:val="single" w:color="auto" w:sz="4" w:space="0"/>
              <w:bottom w:val="single" w:color="auto" w:sz="4" w:space="0"/>
              <w:right w:val="single" w:color="auto" w:sz="4" w:space="0"/>
            </w:tcBorders>
            <w:shd w:val="clear" w:color="auto" w:fill="auto"/>
            <w:vAlign w:val="center"/>
          </w:tcPr>
          <w:p>
            <w:pPr>
              <w:numPr>
                <w:ilvl w:val="255"/>
                <w:numId w:val="0"/>
              </w:numPr>
              <w:spacing w:line="360" w:lineRule="auto"/>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负责在立项阶段对项目申请报告或可行性研究报告落实装配式建筑要求的有关内容进行审查。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2" w:hRule="atLeast"/>
          <w:jc w:val="center"/>
        </w:trPr>
        <w:tc>
          <w:tcPr>
            <w:tcW w:w="1757" w:type="dxa"/>
            <w:vMerge w:val="restart"/>
            <w:tcBorders>
              <w:top w:val="single" w:color="auto" w:sz="4" w:space="0"/>
              <w:left w:val="single" w:color="auto" w:sz="4" w:space="0"/>
              <w:bottom w:val="single" w:color="auto" w:sz="4" w:space="0"/>
              <w:right w:val="single" w:color="auto" w:sz="4" w:space="0"/>
            </w:tcBorders>
            <w:vAlign w:val="center"/>
          </w:tcPr>
          <w:p>
            <w:pPr>
              <w:numPr>
                <w:ilvl w:val="255"/>
                <w:numId w:val="0"/>
              </w:numPr>
              <w:spacing w:line="360" w:lineRule="auto"/>
              <w:jc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规划审批阶段</w:t>
            </w:r>
          </w:p>
        </w:tc>
        <w:tc>
          <w:tcPr>
            <w:tcW w:w="1477" w:type="dxa"/>
            <w:tcBorders>
              <w:top w:val="single" w:color="auto" w:sz="4" w:space="0"/>
              <w:left w:val="single" w:color="auto" w:sz="4" w:space="0"/>
              <w:bottom w:val="single" w:color="auto" w:sz="4" w:space="0"/>
              <w:right w:val="single" w:color="auto" w:sz="4" w:space="0"/>
            </w:tcBorders>
            <w:vAlign w:val="center"/>
          </w:tcPr>
          <w:p>
            <w:pPr>
              <w:numPr>
                <w:ilvl w:val="255"/>
                <w:numId w:val="0"/>
              </w:numPr>
              <w:spacing w:line="360" w:lineRule="auto"/>
              <w:jc w:val="center"/>
              <w:rPr>
                <w:rFonts w:ascii="仿宋" w:hAnsi="仿宋" w:eastAsia="仿宋" w:cs="Times New Roman"/>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市规划委</w:t>
            </w:r>
          </w:p>
        </w:tc>
        <w:tc>
          <w:tcPr>
            <w:tcW w:w="5299" w:type="dxa"/>
            <w:tcBorders>
              <w:top w:val="single" w:color="auto" w:sz="4" w:space="0"/>
              <w:left w:val="single" w:color="auto" w:sz="4" w:space="0"/>
              <w:bottom w:val="single" w:color="auto" w:sz="4" w:space="0"/>
              <w:right w:val="single" w:color="auto" w:sz="4" w:space="0"/>
            </w:tcBorders>
            <w:vAlign w:val="center"/>
          </w:tcPr>
          <w:p>
            <w:pPr>
              <w:numPr>
                <w:ilvl w:val="255"/>
                <w:numId w:val="0"/>
              </w:numPr>
              <w:spacing w:line="360" w:lineRule="auto"/>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负责加强装配式建筑项目规划行政许可</w:t>
            </w:r>
            <w:r>
              <w:rPr>
                <w:rFonts w:hint="eastAsia" w:ascii="Times New Roman" w:hAnsi="Times New Roman" w:eastAsia="仿宋" w:cs="Times New Roman"/>
                <w:color w:val="000000" w:themeColor="text1"/>
                <w:sz w:val="24"/>
                <w:szCs w:val="24"/>
                <w14:textFill>
                  <w14:solidFill>
                    <w14:schemeClr w14:val="tx1"/>
                  </w14:solidFill>
                </w14:textFill>
              </w:rPr>
              <w:t>的管理，</w:t>
            </w:r>
            <w:r>
              <w:rPr>
                <w:rFonts w:ascii="Times New Roman" w:hAnsi="Times New Roman" w:eastAsia="仿宋" w:cs="Times New Roman"/>
                <w:color w:val="000000" w:themeColor="text1"/>
                <w:sz w:val="24"/>
                <w:szCs w:val="24"/>
                <w14:textFill>
                  <w14:solidFill>
                    <w14:schemeClr w14:val="tx1"/>
                  </w14:solidFill>
                </w14:textFill>
              </w:rPr>
              <w:t>在规划条件和选址意见书中明确装配式建筑的实施要求</w:t>
            </w:r>
            <w:r>
              <w:rPr>
                <w:rFonts w:hint="eastAsia" w:ascii="Times New Roman" w:hAnsi="Times New Roman" w:eastAsia="仿宋" w:cs="Times New Roman"/>
                <w:color w:val="000000" w:themeColor="text1"/>
                <w:sz w:val="24"/>
                <w:szCs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6" w:hRule="atLeast"/>
          <w:jc w:val="center"/>
        </w:trPr>
        <w:tc>
          <w:tcPr>
            <w:tcW w:w="1757" w:type="dxa"/>
            <w:vMerge w:val="continue"/>
            <w:tcBorders>
              <w:top w:val="single" w:color="auto" w:sz="4" w:space="0"/>
              <w:left w:val="single" w:color="auto" w:sz="4" w:space="0"/>
              <w:bottom w:val="single" w:color="auto" w:sz="4" w:space="0"/>
              <w:right w:val="single" w:color="auto" w:sz="4" w:space="0"/>
            </w:tcBorders>
            <w:vAlign w:val="center"/>
          </w:tcPr>
          <w:p>
            <w:pPr>
              <w:numPr>
                <w:ilvl w:val="255"/>
                <w:numId w:val="0"/>
              </w:numPr>
              <w:spacing w:line="360" w:lineRule="auto"/>
              <w:jc w:val="center"/>
              <w:rPr>
                <w:rFonts w:ascii="Times New Roman" w:hAnsi="Times New Roman" w:eastAsia="仿宋" w:cs="Times New Roman"/>
                <w:color w:val="000000" w:themeColor="text1"/>
                <w:sz w:val="24"/>
                <w:szCs w:val="24"/>
                <w14:textFill>
                  <w14:solidFill>
                    <w14:schemeClr w14:val="tx1"/>
                  </w14:solidFill>
                </w14:textFill>
              </w:rPr>
            </w:pPr>
          </w:p>
        </w:tc>
        <w:tc>
          <w:tcPr>
            <w:tcW w:w="1477" w:type="dxa"/>
            <w:tcBorders>
              <w:top w:val="single" w:color="auto" w:sz="4" w:space="0"/>
              <w:left w:val="single" w:color="auto" w:sz="4" w:space="0"/>
              <w:bottom w:val="single" w:color="auto" w:sz="4" w:space="0"/>
              <w:right w:val="single" w:color="auto" w:sz="4" w:space="0"/>
            </w:tcBorders>
            <w:vAlign w:val="center"/>
          </w:tcPr>
          <w:p>
            <w:pPr>
              <w:numPr>
                <w:ilvl w:val="255"/>
                <w:numId w:val="0"/>
              </w:numPr>
              <w:spacing w:line="360" w:lineRule="auto"/>
              <w:jc w:val="center"/>
              <w:rPr>
                <w:rFonts w:ascii="仿宋" w:hAnsi="仿宋" w:eastAsia="仿宋" w:cs="Times New Roman"/>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市发展改革局</w:t>
            </w:r>
          </w:p>
        </w:tc>
        <w:tc>
          <w:tcPr>
            <w:tcW w:w="5299" w:type="dxa"/>
            <w:tcBorders>
              <w:top w:val="single" w:color="auto" w:sz="4" w:space="0"/>
              <w:left w:val="single" w:color="auto" w:sz="4" w:space="0"/>
              <w:bottom w:val="single" w:color="auto" w:sz="4" w:space="0"/>
              <w:right w:val="single" w:color="auto" w:sz="4" w:space="0"/>
            </w:tcBorders>
            <w:vAlign w:val="center"/>
          </w:tcPr>
          <w:p>
            <w:pPr>
              <w:numPr>
                <w:ilvl w:val="255"/>
                <w:numId w:val="0"/>
              </w:numPr>
              <w:spacing w:line="360" w:lineRule="auto"/>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建设单位在方案设计</w:t>
            </w:r>
            <w:r>
              <w:rPr>
                <w:rFonts w:hint="eastAsia" w:ascii="Times New Roman" w:hAnsi="Times New Roman" w:eastAsia="仿宋"/>
                <w:color w:val="000000" w:themeColor="text1"/>
                <w:sz w:val="24"/>
                <w:szCs w:val="24"/>
                <w14:textFill>
                  <w14:solidFill>
                    <w14:schemeClr w14:val="tx1"/>
                  </w14:solidFill>
                </w14:textFill>
              </w:rPr>
              <w:t>审</w:t>
            </w:r>
            <w:r>
              <w:rPr>
                <w:rFonts w:ascii="Times New Roman" w:hAnsi="Times New Roman" w:eastAsia="仿宋"/>
                <w:color w:val="000000" w:themeColor="text1"/>
                <w:sz w:val="24"/>
                <w:szCs w:val="24"/>
                <w14:textFill>
                  <w14:solidFill>
                    <w14:schemeClr w14:val="tx1"/>
                  </w14:solidFill>
                </w14:textFill>
              </w:rPr>
              <w:t>查后，向</w:t>
            </w:r>
            <w:r>
              <w:rPr>
                <w:rFonts w:hint="eastAsia" w:ascii="Times New Roman" w:hAnsi="Times New Roman" w:eastAsia="仿宋"/>
                <w:color w:val="000000" w:themeColor="text1"/>
                <w:sz w:val="24"/>
                <w:szCs w:val="24"/>
                <w14:textFill>
                  <w14:solidFill>
                    <w14:schemeClr w14:val="tx1"/>
                  </w14:solidFill>
                </w14:textFill>
              </w:rPr>
              <w:t>市发展改革局</w:t>
            </w:r>
            <w:r>
              <w:rPr>
                <w:rFonts w:ascii="Times New Roman" w:hAnsi="Times New Roman" w:eastAsia="仿宋"/>
                <w:color w:val="000000" w:themeColor="text1"/>
                <w:sz w:val="24"/>
                <w:szCs w:val="24"/>
                <w14:textFill>
                  <w14:solidFill>
                    <w14:schemeClr w14:val="tx1"/>
                  </w14:solidFill>
                </w14:textFill>
              </w:rPr>
              <w:t>提出</w:t>
            </w:r>
            <w:r>
              <w:rPr>
                <w:rFonts w:hint="eastAsia" w:ascii="Times New Roman" w:hAnsi="Times New Roman" w:eastAsia="仿宋"/>
                <w:color w:val="000000" w:themeColor="text1"/>
                <w:sz w:val="24"/>
                <w:szCs w:val="24"/>
                <w14:textFill>
                  <w14:solidFill>
                    <w14:schemeClr w14:val="tx1"/>
                  </w14:solidFill>
                </w14:textFill>
              </w:rPr>
              <w:t>装配式建筑项目初步设计审查</w:t>
            </w:r>
            <w:r>
              <w:rPr>
                <w:rFonts w:ascii="Times New Roman" w:hAnsi="Times New Roman" w:eastAsia="仿宋"/>
                <w:color w:val="000000" w:themeColor="text1"/>
                <w:sz w:val="24"/>
                <w:szCs w:val="24"/>
                <w14:textFill>
                  <w14:solidFill>
                    <w14:schemeClr w14:val="tx1"/>
                  </w14:solidFill>
                </w14:textFill>
              </w:rPr>
              <w:t>申请，并提交申请</w:t>
            </w:r>
            <w:r>
              <w:rPr>
                <w:rFonts w:hint="eastAsia" w:ascii="Times New Roman" w:hAnsi="Times New Roman" w:eastAsia="仿宋"/>
                <w:color w:val="000000" w:themeColor="text1"/>
                <w:sz w:val="24"/>
                <w:szCs w:val="24"/>
                <w:lang w:val="en-US" w:eastAsia="zh-CN"/>
                <w14:textFill>
                  <w14:solidFill>
                    <w14:schemeClr w14:val="tx1"/>
                  </w14:solidFill>
                </w14:textFill>
              </w:rPr>
              <w:t xml:space="preserve">函 </w:t>
            </w:r>
            <w:r>
              <w:rPr>
                <w:rFonts w:hint="eastAsia" w:ascii="Times New Roman" w:hAnsi="Times New Roman" w:eastAsia="仿宋"/>
                <w:color w:val="000000" w:themeColor="text1"/>
                <w:sz w:val="24"/>
                <w:szCs w:val="24"/>
                <w14:textFill>
                  <w14:solidFill>
                    <w14:schemeClr w14:val="tx1"/>
                  </w14:solidFill>
                </w14:textFill>
              </w:rPr>
              <w:t>、装</w:t>
            </w:r>
            <w:r>
              <w:rPr>
                <w:rFonts w:ascii="Times New Roman" w:hAnsi="Times New Roman" w:eastAsia="仿宋"/>
                <w:color w:val="000000" w:themeColor="text1"/>
                <w:sz w:val="24"/>
                <w:szCs w:val="24"/>
                <w14:textFill>
                  <w14:solidFill>
                    <w14:schemeClr w14:val="tx1"/>
                  </w14:solidFill>
                </w14:textFill>
              </w:rPr>
              <w:t>配式建筑</w:t>
            </w:r>
            <w:r>
              <w:rPr>
                <w:rFonts w:hint="eastAsia" w:ascii="Times New Roman" w:hAnsi="Times New Roman" w:eastAsia="仿宋"/>
                <w:color w:val="000000" w:themeColor="text1"/>
                <w:sz w:val="24"/>
                <w:szCs w:val="24"/>
                <w:lang w:val="en-US" w:eastAsia="zh-CN"/>
                <w14:textFill>
                  <w14:solidFill>
                    <w14:schemeClr w14:val="tx1"/>
                  </w14:solidFill>
                </w14:textFill>
              </w:rPr>
              <w:t>初步设计和概算</w:t>
            </w:r>
            <w:r>
              <w:rPr>
                <w:rFonts w:ascii="Times New Roman" w:hAnsi="Times New Roman" w:eastAsia="仿宋"/>
                <w:color w:val="000000" w:themeColor="text1"/>
                <w:sz w:val="24"/>
                <w:szCs w:val="24"/>
                <w14:textFill>
                  <w14:solidFill>
                    <w14:schemeClr w14:val="tx1"/>
                  </w14:solidFill>
                </w14:textFill>
              </w:rPr>
              <w:t>等</w:t>
            </w:r>
            <w:r>
              <w:rPr>
                <w:rFonts w:hint="eastAsia" w:ascii="Times New Roman" w:hAnsi="Times New Roman" w:eastAsia="仿宋"/>
                <w:color w:val="000000" w:themeColor="text1"/>
                <w:sz w:val="24"/>
                <w:szCs w:val="24"/>
                <w:lang w:val="en-US" w:eastAsia="zh-CN"/>
                <w14:textFill>
                  <w14:solidFill>
                    <w14:schemeClr w14:val="tx1"/>
                  </w14:solidFill>
                </w14:textFill>
              </w:rPr>
              <w:t>资</w:t>
            </w:r>
            <w:r>
              <w:rPr>
                <w:rFonts w:ascii="Times New Roman" w:hAnsi="Times New Roman" w:eastAsia="仿宋"/>
                <w:color w:val="000000" w:themeColor="text1"/>
                <w:sz w:val="24"/>
                <w:szCs w:val="24"/>
                <w14:textFill>
                  <w14:solidFill>
                    <w14:schemeClr w14:val="tx1"/>
                  </w14:solidFill>
                </w14:textFill>
              </w:rPr>
              <w:t>料。</w:t>
            </w:r>
            <w:r>
              <w:rPr>
                <w:rFonts w:hint="eastAsia" w:ascii="Times New Roman" w:hAnsi="Times New Roman" w:eastAsia="仿宋"/>
                <w:color w:val="000000" w:themeColor="text1"/>
                <w:sz w:val="24"/>
                <w:szCs w:val="24"/>
                <w14:textFill>
                  <w14:solidFill>
                    <w14:schemeClr w14:val="tx1"/>
                  </w14:solidFill>
                </w14:textFill>
              </w:rPr>
              <w:t>市发展改革局</w:t>
            </w:r>
            <w:r>
              <w:rPr>
                <w:rFonts w:ascii="Times New Roman" w:hAnsi="Times New Roman" w:eastAsia="仿宋"/>
                <w:color w:val="000000" w:themeColor="text1"/>
                <w:sz w:val="24"/>
                <w:szCs w:val="24"/>
                <w14:textFill>
                  <w14:solidFill>
                    <w14:schemeClr w14:val="tx1"/>
                  </w14:solidFill>
                </w14:textFill>
              </w:rPr>
              <w:t>应当组织装配式建筑</w:t>
            </w:r>
            <w:r>
              <w:rPr>
                <w:rFonts w:hint="eastAsia" w:ascii="Times New Roman" w:hAnsi="Times New Roman" w:eastAsia="仿宋"/>
                <w:color w:val="000000" w:themeColor="text1"/>
                <w:sz w:val="24"/>
                <w:szCs w:val="24"/>
                <w14:textFill>
                  <w14:solidFill>
                    <w14:schemeClr w14:val="tx1"/>
                  </w14:solidFill>
                </w14:textFill>
              </w:rPr>
              <w:t>结构</w:t>
            </w:r>
            <w:r>
              <w:rPr>
                <w:rFonts w:ascii="Times New Roman" w:hAnsi="Times New Roman" w:eastAsia="仿宋"/>
                <w:color w:val="000000" w:themeColor="text1"/>
                <w:sz w:val="24"/>
                <w:szCs w:val="24"/>
                <w14:textFill>
                  <w14:solidFill>
                    <w14:schemeClr w14:val="tx1"/>
                  </w14:solidFill>
                </w14:textFill>
              </w:rPr>
              <w:t>、</w:t>
            </w:r>
            <w:r>
              <w:rPr>
                <w:rFonts w:hint="eastAsia" w:ascii="Times New Roman" w:hAnsi="Times New Roman" w:eastAsia="仿宋"/>
                <w:color w:val="000000" w:themeColor="text1"/>
                <w:sz w:val="24"/>
                <w:szCs w:val="24"/>
                <w:lang w:val="en-US" w:eastAsia="zh-CN"/>
                <w14:textFill>
                  <w14:solidFill>
                    <w14:schemeClr w14:val="tx1"/>
                  </w14:solidFill>
                </w14:textFill>
              </w:rPr>
              <w:t>造价</w:t>
            </w:r>
            <w:r>
              <w:rPr>
                <w:rFonts w:ascii="Times New Roman" w:hAnsi="Times New Roman" w:eastAsia="仿宋"/>
                <w:color w:val="000000" w:themeColor="text1"/>
                <w:sz w:val="24"/>
                <w:szCs w:val="24"/>
                <w14:textFill>
                  <w14:solidFill>
                    <w14:schemeClr w14:val="tx1"/>
                  </w14:solidFill>
                </w14:textFill>
              </w:rPr>
              <w:t>等领域专家对建设单位提交的</w:t>
            </w:r>
            <w:r>
              <w:rPr>
                <w:rFonts w:hint="eastAsia" w:ascii="Times New Roman" w:hAnsi="Times New Roman" w:eastAsia="仿宋"/>
                <w:color w:val="000000" w:themeColor="text1"/>
                <w:sz w:val="24"/>
                <w:szCs w:val="24"/>
                <w:lang w:val="en-US" w:eastAsia="zh-CN"/>
                <w14:textFill>
                  <w14:solidFill>
                    <w14:schemeClr w14:val="tx1"/>
                  </w14:solidFill>
                </w14:textFill>
              </w:rPr>
              <w:t>初步设计和概算等资料</w:t>
            </w:r>
            <w:r>
              <w:rPr>
                <w:rFonts w:ascii="Times New Roman" w:hAnsi="Times New Roman" w:eastAsia="仿宋"/>
                <w:color w:val="000000" w:themeColor="text1"/>
                <w:sz w:val="24"/>
                <w:szCs w:val="24"/>
                <w14:textFill>
                  <w14:solidFill>
                    <w14:schemeClr w14:val="tx1"/>
                  </w14:solidFill>
                </w14:textFill>
              </w:rPr>
              <w:t>进行</w:t>
            </w:r>
            <w:r>
              <w:rPr>
                <w:rFonts w:hint="eastAsia" w:ascii="Times New Roman" w:hAnsi="Times New Roman" w:eastAsia="仿宋"/>
                <w:color w:val="000000" w:themeColor="text1"/>
                <w:sz w:val="24"/>
                <w:szCs w:val="24"/>
                <w14:textFill>
                  <w14:solidFill>
                    <w14:schemeClr w14:val="tx1"/>
                  </w14:solidFill>
                </w14:textFill>
              </w:rPr>
              <w:t>审查</w:t>
            </w:r>
            <w:r>
              <w:rPr>
                <w:rFonts w:ascii="Times New Roman" w:hAnsi="Times New Roman" w:eastAsia="仿宋"/>
                <w:color w:val="000000" w:themeColor="text1"/>
                <w:sz w:val="24"/>
                <w:szCs w:val="24"/>
                <w14:textFill>
                  <w14:solidFill>
                    <w14:schemeClr w14:val="tx1"/>
                  </w14:solidFill>
                </w14:textFill>
              </w:rPr>
              <w:t>，</w:t>
            </w:r>
            <w:r>
              <w:rPr>
                <w:rFonts w:hint="eastAsia" w:ascii="Times New Roman" w:hAnsi="Times New Roman" w:eastAsia="仿宋"/>
                <w:color w:val="000000" w:themeColor="text1"/>
                <w:sz w:val="24"/>
                <w:szCs w:val="24"/>
                <w:lang w:val="en-US" w:eastAsia="zh-CN"/>
                <w14:textFill>
                  <w14:solidFill>
                    <w14:schemeClr w14:val="tx1"/>
                  </w14:solidFill>
                </w14:textFill>
              </w:rPr>
              <w:t>由评审单位</w:t>
            </w:r>
            <w:r>
              <w:rPr>
                <w:rFonts w:ascii="Times New Roman" w:hAnsi="Times New Roman" w:eastAsia="仿宋"/>
                <w:color w:val="000000" w:themeColor="text1"/>
                <w:sz w:val="24"/>
                <w:szCs w:val="24"/>
                <w14:textFill>
                  <w14:solidFill>
                    <w14:schemeClr w14:val="tx1"/>
                  </w14:solidFill>
                </w14:textFill>
              </w:rPr>
              <w:t>出具</w:t>
            </w:r>
            <w:r>
              <w:rPr>
                <w:rFonts w:hint="eastAsia" w:ascii="Times New Roman" w:hAnsi="Times New Roman" w:eastAsia="仿宋"/>
                <w:color w:val="000000" w:themeColor="text1"/>
                <w:sz w:val="24"/>
                <w:szCs w:val="24"/>
                <w:lang w:val="en-US" w:eastAsia="zh-CN"/>
                <w14:textFill>
                  <w14:solidFill>
                    <w14:schemeClr w14:val="tx1"/>
                  </w14:solidFill>
                </w14:textFill>
              </w:rPr>
              <w:t>评审报告后再进行审批</w:t>
            </w:r>
            <w:r>
              <w:rPr>
                <w:rFonts w:ascii="Times New Roman" w:hAnsi="Times New Roman" w:eastAsia="仿宋"/>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7" w:type="dxa"/>
            <w:tcBorders>
              <w:top w:val="single" w:color="auto" w:sz="4" w:space="0"/>
              <w:left w:val="single" w:color="auto" w:sz="4" w:space="0"/>
              <w:bottom w:val="single" w:color="auto" w:sz="4" w:space="0"/>
              <w:right w:val="single" w:color="auto" w:sz="4" w:space="0"/>
            </w:tcBorders>
            <w:vAlign w:val="center"/>
          </w:tcPr>
          <w:p>
            <w:pPr>
              <w:numPr>
                <w:ilvl w:val="255"/>
                <w:numId w:val="0"/>
              </w:numPr>
              <w:spacing w:line="360" w:lineRule="auto"/>
              <w:jc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设计文件审查阶段</w:t>
            </w:r>
          </w:p>
        </w:tc>
        <w:tc>
          <w:tcPr>
            <w:tcW w:w="1477" w:type="dxa"/>
            <w:tcBorders>
              <w:top w:val="single" w:color="auto" w:sz="4" w:space="0"/>
              <w:left w:val="single" w:color="auto" w:sz="4" w:space="0"/>
              <w:bottom w:val="single" w:color="auto" w:sz="4" w:space="0"/>
              <w:right w:val="single" w:color="auto" w:sz="4" w:space="0"/>
            </w:tcBorders>
            <w:vAlign w:val="center"/>
          </w:tcPr>
          <w:p>
            <w:pPr>
              <w:numPr>
                <w:ilvl w:val="255"/>
                <w:numId w:val="0"/>
              </w:numPr>
              <w:spacing w:line="360" w:lineRule="auto"/>
              <w:jc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市住房城乡建设局</w:t>
            </w:r>
          </w:p>
        </w:tc>
        <w:tc>
          <w:tcPr>
            <w:tcW w:w="5299" w:type="dxa"/>
            <w:tcBorders>
              <w:top w:val="single" w:color="auto" w:sz="4" w:space="0"/>
              <w:left w:val="single" w:color="auto" w:sz="4" w:space="0"/>
              <w:bottom w:val="single" w:color="auto" w:sz="4" w:space="0"/>
              <w:right w:val="single" w:color="auto" w:sz="4" w:space="0"/>
            </w:tcBorders>
            <w:vAlign w:val="center"/>
          </w:tcPr>
          <w:p>
            <w:pPr>
              <w:numPr>
                <w:ilvl w:val="255"/>
                <w:numId w:val="0"/>
              </w:numPr>
              <w:spacing w:line="360" w:lineRule="auto"/>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负责加强</w:t>
            </w:r>
            <w:r>
              <w:rPr>
                <w:rFonts w:hint="eastAsia" w:ascii="Times New Roman" w:hAnsi="Times New Roman" w:eastAsia="仿宋" w:cs="Times New Roman"/>
                <w:color w:val="000000" w:themeColor="text1"/>
                <w:sz w:val="24"/>
                <w:szCs w:val="24"/>
                <w14:textFill>
                  <w14:solidFill>
                    <w14:schemeClr w14:val="tx1"/>
                  </w14:solidFill>
                </w14:textFill>
              </w:rPr>
              <w:t>建设项目施工图</w:t>
            </w:r>
            <w:r>
              <w:rPr>
                <w:rFonts w:ascii="Times New Roman" w:hAnsi="Times New Roman" w:eastAsia="仿宋" w:cs="Times New Roman"/>
                <w:color w:val="000000" w:themeColor="text1"/>
                <w:sz w:val="24"/>
                <w:szCs w:val="24"/>
                <w14:textFill>
                  <w14:solidFill>
                    <w14:schemeClr w14:val="tx1"/>
                  </w14:solidFill>
                </w14:textFill>
              </w:rPr>
              <w:t>设计文件审查的管理，</w:t>
            </w:r>
            <w:r>
              <w:rPr>
                <w:rFonts w:hint="eastAsia" w:ascii="Times New Roman" w:hAnsi="Times New Roman" w:eastAsia="仿宋" w:cs="Times New Roman"/>
                <w:color w:val="000000" w:themeColor="text1"/>
                <w:sz w:val="24"/>
                <w:szCs w:val="24"/>
                <w14:textFill>
                  <w14:solidFill>
                    <w14:schemeClr w14:val="tx1"/>
                  </w14:solidFill>
                </w14:textFill>
              </w:rPr>
              <w:t>根据国家及省内规范要求，加强</w:t>
            </w:r>
            <w:r>
              <w:rPr>
                <w:rFonts w:ascii="Times New Roman" w:hAnsi="Times New Roman" w:eastAsia="仿宋" w:cs="Times New Roman"/>
                <w:color w:val="000000" w:themeColor="text1"/>
                <w:sz w:val="24"/>
                <w:szCs w:val="24"/>
                <w14:textFill>
                  <w14:solidFill>
                    <w14:schemeClr w14:val="tx1"/>
                  </w14:solidFill>
                </w14:textFill>
              </w:rPr>
              <w:t>装配式建筑设计文件深度规定和审查要点</w:t>
            </w:r>
            <w:r>
              <w:rPr>
                <w:rFonts w:hint="eastAsia" w:ascii="Times New Roman" w:hAnsi="Times New Roman" w:eastAsia="仿宋" w:cs="Times New Roman"/>
                <w:color w:val="000000" w:themeColor="text1"/>
                <w:sz w:val="24"/>
                <w:szCs w:val="24"/>
                <w14:textFill>
                  <w14:solidFill>
                    <w14:schemeClr w14:val="tx1"/>
                  </w14:solidFill>
                </w14:textFill>
              </w:rPr>
              <w:t>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7" w:type="dxa"/>
            <w:tcBorders>
              <w:top w:val="single" w:color="auto" w:sz="4" w:space="0"/>
              <w:left w:val="single" w:color="auto" w:sz="4" w:space="0"/>
              <w:bottom w:val="single" w:color="auto" w:sz="4" w:space="0"/>
              <w:right w:val="single" w:color="auto" w:sz="4" w:space="0"/>
            </w:tcBorders>
            <w:vAlign w:val="center"/>
          </w:tcPr>
          <w:p>
            <w:pPr>
              <w:numPr>
                <w:ilvl w:val="255"/>
                <w:numId w:val="0"/>
              </w:numPr>
              <w:spacing w:line="360" w:lineRule="auto"/>
              <w:jc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施工及竣工验收阶段</w:t>
            </w:r>
          </w:p>
        </w:tc>
        <w:tc>
          <w:tcPr>
            <w:tcW w:w="1477" w:type="dxa"/>
            <w:tcBorders>
              <w:top w:val="single" w:color="auto" w:sz="4" w:space="0"/>
              <w:left w:val="single" w:color="auto" w:sz="4" w:space="0"/>
              <w:bottom w:val="single" w:color="auto" w:sz="4" w:space="0"/>
              <w:right w:val="single" w:color="auto" w:sz="4" w:space="0"/>
            </w:tcBorders>
            <w:vAlign w:val="center"/>
          </w:tcPr>
          <w:p>
            <w:pPr>
              <w:numPr>
                <w:ilvl w:val="255"/>
                <w:numId w:val="0"/>
              </w:numPr>
              <w:spacing w:line="360" w:lineRule="auto"/>
              <w:jc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color w:val="000000" w:themeColor="text1"/>
                <w:sz w:val="24"/>
                <w:szCs w:val="24"/>
                <w14:textFill>
                  <w14:solidFill>
                    <w14:schemeClr w14:val="tx1"/>
                  </w14:solidFill>
                </w14:textFill>
              </w:rPr>
              <w:t>市建筑工程质量监督站</w:t>
            </w:r>
          </w:p>
        </w:tc>
        <w:tc>
          <w:tcPr>
            <w:tcW w:w="5299" w:type="dxa"/>
            <w:tcBorders>
              <w:top w:val="single" w:color="auto" w:sz="4" w:space="0"/>
              <w:left w:val="single" w:color="auto" w:sz="4" w:space="0"/>
              <w:bottom w:val="single" w:color="auto" w:sz="4" w:space="0"/>
              <w:right w:val="single" w:color="auto" w:sz="4" w:space="0"/>
            </w:tcBorders>
            <w:vAlign w:val="center"/>
          </w:tcPr>
          <w:p>
            <w:pPr>
              <w:numPr>
                <w:ilvl w:val="255"/>
                <w:numId w:val="0"/>
              </w:numPr>
              <w:spacing w:line="360" w:lineRule="auto"/>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将</w:t>
            </w:r>
            <w:r>
              <w:rPr>
                <w:rFonts w:hint="eastAsia" w:ascii="Times New Roman" w:hAnsi="Times New Roman" w:eastAsia="仿宋"/>
                <w:color w:val="000000" w:themeColor="text1"/>
                <w:sz w:val="24"/>
                <w:szCs w:val="24"/>
                <w14:textFill>
                  <w14:solidFill>
                    <w14:schemeClr w14:val="tx1"/>
                  </w14:solidFill>
                </w14:textFill>
              </w:rPr>
              <w:t>建设</w:t>
            </w:r>
            <w:r>
              <w:rPr>
                <w:rFonts w:ascii="Times New Roman" w:hAnsi="Times New Roman" w:eastAsia="仿宋"/>
                <w:color w:val="000000" w:themeColor="text1"/>
                <w:sz w:val="24"/>
                <w:szCs w:val="24"/>
                <w14:textFill>
                  <w14:solidFill>
                    <w14:schemeClr w14:val="tx1"/>
                  </w14:solidFill>
                </w14:textFill>
              </w:rPr>
              <w:t>项目实施装配式建筑的情况纳入日常监督检查，有关监督检查情况应当形成书面监督记录，</w:t>
            </w:r>
            <w:r>
              <w:rPr>
                <w:rFonts w:hint="eastAsia" w:ascii="Times New Roman" w:hAnsi="Times New Roman" w:eastAsia="仿宋"/>
                <w:color w:val="000000" w:themeColor="text1"/>
                <w:sz w:val="24"/>
                <w:szCs w:val="24"/>
                <w14:textFill>
                  <w14:solidFill>
                    <w14:schemeClr w14:val="tx1"/>
                  </w14:solidFill>
                </w14:textFill>
              </w:rPr>
              <w:t>加强生产环节监督检查，</w:t>
            </w:r>
            <w:r>
              <w:rPr>
                <w:rFonts w:ascii="Times New Roman" w:hAnsi="Times New Roman" w:eastAsia="仿宋"/>
                <w:color w:val="000000" w:themeColor="text1"/>
                <w:sz w:val="24"/>
                <w:szCs w:val="24"/>
                <w14:textFill>
                  <w14:solidFill>
                    <w14:schemeClr w14:val="tx1"/>
                  </w14:solidFill>
                </w14:textFill>
              </w:rPr>
              <w:t>在</w:t>
            </w:r>
            <w:r>
              <w:rPr>
                <w:rFonts w:hint="eastAsia" w:ascii="Times New Roman" w:hAnsi="Times New Roman" w:eastAsia="仿宋"/>
                <w:color w:val="000000" w:themeColor="text1"/>
                <w:sz w:val="24"/>
                <w:szCs w:val="24"/>
                <w14:textFill>
                  <w14:solidFill>
                    <w14:schemeClr w14:val="tx1"/>
                  </w14:solidFill>
                </w14:textFill>
              </w:rPr>
              <w:t>竣工验收报告中增加装配式建筑专篇。</w:t>
            </w:r>
          </w:p>
        </w:tc>
      </w:tr>
    </w:tbl>
    <w:p>
      <w:pPr>
        <w:pStyle w:val="3"/>
        <w:numPr>
          <w:ilvl w:val="255"/>
          <w:numId w:val="0"/>
        </w:numPr>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117" w:name="_Toc25955"/>
      <w:bookmarkStart w:id="118" w:name="_Toc509571335"/>
      <w:bookmarkStart w:id="119" w:name="_Toc3594"/>
      <w:bookmarkStart w:id="120" w:name="_Toc26833"/>
      <w:bookmarkStart w:id="121" w:name="_Toc529282353"/>
      <w:bookmarkStart w:id="122" w:name="_Toc509571599"/>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四、加强质量监管</w:t>
      </w:r>
      <w:bookmarkEnd w:id="117"/>
      <w:bookmarkEnd w:id="118"/>
      <w:bookmarkEnd w:id="119"/>
      <w:bookmarkEnd w:id="120"/>
      <w:bookmarkEnd w:id="121"/>
      <w:bookmarkEnd w:id="122"/>
    </w:p>
    <w:p>
      <w:pPr>
        <w:spacing w:line="360" w:lineRule="auto"/>
        <w:ind w:firstLine="560" w:firstLineChars="200"/>
        <w:jc w:val="left"/>
        <w:rPr>
          <w:rFonts w:ascii="Times New Roman" w:hAnsi="Times New Roman" w:eastAsia="仿宋_GB2312" w:cs="Times New Roman"/>
          <w:color w:val="000000" w:themeColor="text1"/>
          <w:sz w:val="28"/>
          <w:szCs w:val="24"/>
          <w14:textFill>
            <w14:solidFill>
              <w14:schemeClr w14:val="tx1"/>
            </w14:solidFill>
          </w14:textFill>
        </w:rPr>
      </w:pPr>
      <w:r>
        <w:rPr>
          <w:rFonts w:hint="eastAsia" w:ascii="Times New Roman" w:hAnsi="Times New Roman" w:eastAsia="仿宋_GB2312" w:cs="Times New Roman"/>
          <w:color w:val="000000" w:themeColor="text1"/>
          <w:sz w:val="28"/>
          <w:szCs w:val="24"/>
          <w14:textFill>
            <w14:solidFill>
              <w14:schemeClr w14:val="tx1"/>
            </w14:solidFill>
          </w14:textFill>
        </w:rPr>
        <w:t>完善装配式建筑工程报建、设计文件审查、施工许可、建设监理、质量安全、竣工验收等管理制度，健全质量安全责任体系，落实各方主体质量安全责任。</w:t>
      </w:r>
    </w:p>
    <w:p>
      <w:pPr>
        <w:spacing w:line="360" w:lineRule="auto"/>
        <w:ind w:firstLine="560" w:firstLineChars="200"/>
        <w:jc w:val="left"/>
        <w:rPr>
          <w:rFonts w:ascii="Times New Roman" w:hAnsi="Times New Roman" w:eastAsia="仿宋_GB2312" w:cs="Times New Roman"/>
          <w:color w:val="000000" w:themeColor="text1"/>
          <w:sz w:val="28"/>
          <w:szCs w:val="24"/>
          <w14:textFill>
            <w14:solidFill>
              <w14:schemeClr w14:val="tx1"/>
            </w14:solidFill>
          </w14:textFill>
        </w:rPr>
      </w:pPr>
      <w:r>
        <w:rPr>
          <w:rFonts w:hint="eastAsia" w:ascii="Times New Roman" w:hAnsi="Times New Roman" w:eastAsia="仿宋_GB2312" w:cs="Times New Roman"/>
          <w:color w:val="000000" w:themeColor="text1"/>
          <w:sz w:val="28"/>
          <w:szCs w:val="24"/>
          <w14:textFill>
            <w14:solidFill>
              <w14:schemeClr w14:val="tx1"/>
            </w14:solidFill>
          </w14:textFill>
        </w:rPr>
        <w:t>建设单位应依法将装配式建筑工程发包给具有相应资质的勘察、设计、监理、施工单位，并根据装配式建筑的特点和要求，对相应单位的资质、能力、经验进行审查；监理单位采用驻厂监造等方式加强部品部件生产质量管控，并加大对结构部分现场浇筑环节、预制构件连接节点和吊装作业工程的抽查力度；施工单位要加强施工过程质量安全控制和检验检测，完善装配施工质量保证体系。行政主管部门应加强行业监管，明确装配式建筑工程设计文件审查要求和质量、安全监管要点，严肃查处质量安全违法违规行为。</w:t>
      </w:r>
    </w:p>
    <w:p>
      <w:pPr>
        <w:pStyle w:val="3"/>
        <w:numPr>
          <w:ilvl w:val="255"/>
          <w:numId w:val="0"/>
        </w:numPr>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123" w:name="_Toc529282354"/>
      <w:bookmarkStart w:id="124" w:name="_Toc17918"/>
      <w:bookmarkStart w:id="125" w:name="_Toc14139"/>
      <w:bookmarkStart w:id="126" w:name="_Toc32620"/>
      <w:bookmarkStart w:id="127" w:name="_Toc509571600"/>
      <w:bookmarkStart w:id="128" w:name="_Toc509571336"/>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五、完善激励政策</w:t>
      </w:r>
      <w:bookmarkEnd w:id="123"/>
      <w:bookmarkEnd w:id="124"/>
      <w:bookmarkEnd w:id="125"/>
      <w:bookmarkEnd w:id="126"/>
      <w:bookmarkEnd w:id="127"/>
      <w:bookmarkEnd w:id="128"/>
    </w:p>
    <w:p>
      <w:pPr>
        <w:spacing w:line="360" w:lineRule="auto"/>
        <w:ind w:firstLine="560" w:firstLineChars="200"/>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t>整合市级相关管理部门政策资源，构建全面、系统的政策保障体系，确保装配式建筑发展的激励措施落实到位。</w:t>
      </w:r>
      <w:r>
        <w:rPr>
          <w:rFonts w:hint="eastAsia" w:ascii="Times New Roman" w:hAnsi="Times New Roman" w:eastAsia="仿宋_GB2312"/>
          <w:color w:val="000000" w:themeColor="text1"/>
          <w:sz w:val="28"/>
          <w:szCs w:val="28"/>
          <w14:textFill>
            <w14:solidFill>
              <w14:schemeClr w14:val="tx1"/>
            </w14:solidFill>
          </w14:textFill>
        </w:rPr>
        <w:t>以土地源头控制和项目建设条件设定为工作抓手，严格落实出让地块的装配式建筑建设要求，完善并落实装配式建筑的激励政策，探索通过土地供应、建筑面积（容积率）奖励、税收优惠等措施加大扶持力度，</w:t>
      </w:r>
      <w:r>
        <w:rPr>
          <w:rFonts w:hint="eastAsia" w:ascii="Times New Roman" w:hAnsi="Times New Roman" w:eastAsia="仿宋_GB2312" w:cs="仿宋"/>
          <w:color w:val="000000" w:themeColor="text1"/>
          <w:kern w:val="0"/>
          <w:sz w:val="28"/>
          <w:szCs w:val="28"/>
          <w:lang w:bidi="ar"/>
          <w14:textFill>
            <w14:solidFill>
              <w14:schemeClr w14:val="tx1"/>
            </w14:solidFill>
          </w14:textFill>
        </w:rPr>
        <w:t>充分调动建设、施工等单位的积极性，</w:t>
      </w:r>
      <w:r>
        <w:rPr>
          <w:rFonts w:hint="eastAsia" w:ascii="Times New Roman" w:hAnsi="Times New Roman" w:eastAsia="仿宋_GB2312"/>
          <w:color w:val="000000" w:themeColor="text1"/>
          <w:sz w:val="28"/>
          <w:szCs w:val="28"/>
          <w14:textFill>
            <w14:solidFill>
              <w14:schemeClr w14:val="tx1"/>
            </w14:solidFill>
          </w14:textFill>
        </w:rPr>
        <w:t>推进装配式建筑项目的建设。</w:t>
      </w:r>
    </w:p>
    <w:p>
      <w:pPr>
        <w:spacing w:line="360" w:lineRule="auto"/>
        <w:jc w:val="center"/>
        <w:rPr>
          <w:rFonts w:ascii="Times New Roman" w:hAnsi="Times New Roman" w:eastAsia="仿宋" w:cs="仿宋"/>
          <w:b/>
          <w:bCs/>
          <w:color w:val="000000" w:themeColor="text1"/>
          <w:kern w:val="0"/>
          <w:sz w:val="24"/>
          <w:szCs w:val="24"/>
          <w:lang w:bidi="ar"/>
          <w14:textFill>
            <w14:solidFill>
              <w14:schemeClr w14:val="tx1"/>
            </w14:solidFill>
          </w14:textFill>
        </w:rPr>
      </w:pPr>
      <w:r>
        <w:rPr>
          <w:rFonts w:ascii="Times New Roman" w:hAnsi="Times New Roman" w:eastAsia="仿宋" w:cs="仿宋"/>
          <w:b/>
          <w:bCs/>
          <w:color w:val="000000" w:themeColor="text1"/>
          <w:kern w:val="0"/>
          <w:sz w:val="24"/>
          <w:szCs w:val="24"/>
          <w:lang w:bidi="ar"/>
          <w14:textFill>
            <w14:solidFill>
              <w14:schemeClr w14:val="tx1"/>
            </w14:solidFill>
          </w14:textFill>
        </w:rPr>
        <w:t>表</w:t>
      </w:r>
      <w:r>
        <w:rPr>
          <w:rFonts w:ascii="Times New Roman" w:hAnsi="Times New Roman" w:eastAsia="仿宋" w:cs="Times New Roman"/>
          <w:b/>
          <w:bCs/>
          <w:color w:val="000000" w:themeColor="text1"/>
          <w:kern w:val="0"/>
          <w:sz w:val="24"/>
          <w:szCs w:val="24"/>
          <w:lang w:bidi="ar"/>
          <w14:textFill>
            <w14:solidFill>
              <w14:schemeClr w14:val="tx1"/>
            </w14:solidFill>
          </w14:textFill>
        </w:rPr>
        <w:t>6-</w:t>
      </w:r>
      <w:r>
        <w:rPr>
          <w:rFonts w:hint="eastAsia" w:ascii="Times New Roman" w:hAnsi="Times New Roman" w:eastAsia="仿宋" w:cs="Times New Roman"/>
          <w:b/>
          <w:bCs/>
          <w:color w:val="000000" w:themeColor="text1"/>
          <w:kern w:val="0"/>
          <w:sz w:val="24"/>
          <w:szCs w:val="24"/>
          <w:lang w:bidi="ar"/>
          <w14:textFill>
            <w14:solidFill>
              <w14:schemeClr w14:val="tx1"/>
            </w14:solidFill>
          </w14:textFill>
        </w:rPr>
        <w:t>5-1</w:t>
      </w:r>
      <w:r>
        <w:rPr>
          <w:rFonts w:hint="eastAsia" w:ascii="Times New Roman" w:hAnsi="Times New Roman" w:eastAsia="仿宋" w:cs="仿宋"/>
          <w:b/>
          <w:bCs/>
          <w:color w:val="000000" w:themeColor="text1"/>
          <w:kern w:val="0"/>
          <w:sz w:val="24"/>
          <w:szCs w:val="24"/>
          <w:lang w:bidi="ar"/>
          <w14:textFill>
            <w14:solidFill>
              <w14:schemeClr w14:val="tx1"/>
            </w14:solidFill>
          </w14:textFill>
        </w:rPr>
        <w:t>五指山市</w:t>
      </w:r>
      <w:r>
        <w:rPr>
          <w:rFonts w:ascii="Times New Roman" w:hAnsi="Times New Roman" w:eastAsia="仿宋" w:cs="仿宋"/>
          <w:b/>
          <w:bCs/>
          <w:color w:val="000000" w:themeColor="text1"/>
          <w:kern w:val="0"/>
          <w:sz w:val="24"/>
          <w:szCs w:val="24"/>
          <w:lang w:bidi="ar"/>
          <w14:textFill>
            <w14:solidFill>
              <w14:schemeClr w14:val="tx1"/>
            </w14:solidFill>
          </w14:textFill>
        </w:rPr>
        <w:t>装配式建筑发展政策措施</w:t>
      </w:r>
    </w:p>
    <w:tbl>
      <w:tblPr>
        <w:tblStyle w:val="22"/>
        <w:tblW w:w="84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1"/>
        <w:gridCol w:w="6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1" w:type="dxa"/>
            <w:vAlign w:val="center"/>
          </w:tcPr>
          <w:p>
            <w:pPr>
              <w:spacing w:line="240" w:lineRule="atLeast"/>
              <w:jc w:val="center"/>
              <w:rPr>
                <w:rFonts w:ascii="Times New Roman" w:hAnsi="Times New Roman" w:eastAsia="仿宋"/>
                <w:b/>
                <w:bCs/>
                <w:color w:val="000000" w:themeColor="text1"/>
                <w:sz w:val="24"/>
                <w:szCs w:val="24"/>
                <w14:textFill>
                  <w14:solidFill>
                    <w14:schemeClr w14:val="tx1"/>
                  </w14:solidFill>
                </w14:textFill>
              </w:rPr>
            </w:pPr>
            <w:bookmarkStart w:id="129" w:name="_Toc20377"/>
            <w:bookmarkStart w:id="130" w:name="_Toc509571337"/>
            <w:bookmarkStart w:id="131" w:name="_Toc509571601"/>
            <w:bookmarkStart w:id="132" w:name="_Toc22326"/>
            <w:r>
              <w:rPr>
                <w:rFonts w:hint="eastAsia" w:ascii="Times New Roman" w:hAnsi="Times New Roman" w:eastAsia="仿宋"/>
                <w:b/>
                <w:bCs/>
                <w:color w:val="000000" w:themeColor="text1"/>
                <w:sz w:val="24"/>
                <w:szCs w:val="24"/>
                <w14:textFill>
                  <w14:solidFill>
                    <w14:schemeClr w14:val="tx1"/>
                  </w14:solidFill>
                </w14:textFill>
              </w:rPr>
              <w:t>政策</w:t>
            </w:r>
          </w:p>
        </w:tc>
        <w:tc>
          <w:tcPr>
            <w:tcW w:w="6542" w:type="dxa"/>
            <w:vAlign w:val="center"/>
          </w:tcPr>
          <w:p>
            <w:pPr>
              <w:spacing w:line="240" w:lineRule="atLeast"/>
              <w:jc w:val="center"/>
              <w:rPr>
                <w:rFonts w:ascii="Times New Roman" w:hAnsi="Times New Roman" w:eastAsia="仿宋"/>
                <w:b/>
                <w:bCs/>
                <w:color w:val="000000" w:themeColor="text1"/>
                <w:sz w:val="24"/>
                <w:szCs w:val="24"/>
                <w14:textFill>
                  <w14:solidFill>
                    <w14:schemeClr w14:val="tx1"/>
                  </w14:solidFill>
                </w14:textFill>
              </w:rPr>
            </w:pPr>
            <w:r>
              <w:rPr>
                <w:rFonts w:hint="eastAsia" w:ascii="Times New Roman" w:hAnsi="Times New Roman" w:eastAsia="仿宋"/>
                <w:b/>
                <w:bCs/>
                <w:color w:val="000000" w:themeColor="text1"/>
                <w:sz w:val="24"/>
                <w:szCs w:val="24"/>
                <w14:textFill>
                  <w14:solidFill>
                    <w14:schemeClr w14:val="tx1"/>
                  </w14:solidFill>
                </w14:textFill>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5" w:hRule="atLeast"/>
        </w:trPr>
        <w:tc>
          <w:tcPr>
            <w:tcW w:w="1901" w:type="dxa"/>
            <w:vAlign w:val="center"/>
          </w:tcPr>
          <w:p>
            <w:pPr>
              <w:spacing w:line="360" w:lineRule="auto"/>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1.提供用地支持</w:t>
            </w:r>
          </w:p>
        </w:tc>
        <w:tc>
          <w:tcPr>
            <w:tcW w:w="6542" w:type="dxa"/>
            <w:vAlign w:val="center"/>
          </w:tcPr>
          <w:p>
            <w:pPr>
              <w:spacing w:line="360" w:lineRule="auto"/>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①在建设用地计划中，对主动采用装配式建筑建设的项目优先保障用地；</w:t>
            </w:r>
          </w:p>
          <w:p>
            <w:pPr>
              <w:spacing w:line="360" w:lineRule="auto"/>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②对符合产业结构调整或高新技术的项目，优先安排用地，优先立项，优先审批；</w:t>
            </w:r>
          </w:p>
          <w:p>
            <w:pPr>
              <w:spacing w:line="360" w:lineRule="auto"/>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③对采用装配式建筑技术实施建设作为土地出让条件，并在土地出让合同中和其他规范性文件中注明。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3" w:hRule="atLeast"/>
        </w:trPr>
        <w:tc>
          <w:tcPr>
            <w:tcW w:w="1901" w:type="dxa"/>
            <w:vAlign w:val="center"/>
          </w:tcPr>
          <w:p>
            <w:pPr>
              <w:spacing w:line="240" w:lineRule="atLeast"/>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2.实施税费优惠</w:t>
            </w:r>
          </w:p>
        </w:tc>
        <w:tc>
          <w:tcPr>
            <w:tcW w:w="6542" w:type="dxa"/>
            <w:vAlign w:val="center"/>
          </w:tcPr>
          <w:p>
            <w:pPr>
              <w:spacing w:line="360" w:lineRule="auto"/>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①开发装配式建筑新技术、新工艺、新材料和新设备的研究开发费用，按照国家有关规定享受税前加计扣除等优惠政策；</w:t>
            </w:r>
          </w:p>
          <w:p>
            <w:pPr>
              <w:spacing w:line="360" w:lineRule="auto"/>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②符合条件的企业积极申报高新技术企业和海南省技术先进型服务企业，按规定享受相应的财政补助或税收优惠政策。</w:t>
            </w:r>
          </w:p>
          <w:p>
            <w:pPr>
              <w:spacing w:line="360" w:lineRule="auto"/>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③对于装配式建筑项目，施工企业缴纳的质量保证金以合同总价扣除预制构件总价作为基数乘以2%费率计取。</w:t>
            </w:r>
          </w:p>
          <w:p>
            <w:pPr>
              <w:spacing w:line="360" w:lineRule="auto"/>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④对进口木材、建材等原材料制定进出口税减免等优惠政策。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1" w:type="dxa"/>
            <w:vAlign w:val="center"/>
          </w:tcPr>
          <w:p>
            <w:pPr>
              <w:spacing w:line="240" w:lineRule="atLeast"/>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3.优化审批服务</w:t>
            </w:r>
          </w:p>
        </w:tc>
        <w:tc>
          <w:tcPr>
            <w:tcW w:w="6542" w:type="dxa"/>
            <w:vAlign w:val="center"/>
          </w:tcPr>
          <w:p>
            <w:pPr>
              <w:spacing w:line="360" w:lineRule="auto"/>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①对满足装配式建筑要求的商品房项目，八层以上房屋施工进度达到三分之二以上楼层即可向当地房地产主管部门办理预售登记，领取《商品房预售许可证》。在办理《商品房预售许可证》时，允许将装配式预制构件投资计入工程建设总投资额，纳入进度衡量。十层以上的装配式建筑项目，建设单位可申请主体结构分段验收。</w:t>
            </w:r>
          </w:p>
          <w:p>
            <w:pPr>
              <w:spacing w:line="360" w:lineRule="auto"/>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②在评选优质工程奖、优秀工程设计和考核文明工地时，优先考虑装配式建筑项目。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1" w:type="dxa"/>
            <w:vAlign w:val="center"/>
          </w:tcPr>
          <w:p>
            <w:pPr>
              <w:spacing w:line="240" w:lineRule="atLeast"/>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4.容积率奖励</w:t>
            </w:r>
          </w:p>
        </w:tc>
        <w:tc>
          <w:tcPr>
            <w:tcW w:w="6542" w:type="dxa"/>
            <w:vAlign w:val="center"/>
          </w:tcPr>
          <w:p>
            <w:pPr>
              <w:spacing w:line="360" w:lineRule="auto"/>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到2020年底前，按装配式方式建造的商品房项目，且满足国家装配式建筑装配率计算规则要求的（装配率达到50%），其满足装配式建筑要求部分的建筑面积可按一定比例（不超过规划地上建筑面积的3%）不计入容积率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1" w:type="dxa"/>
            <w:vAlign w:val="center"/>
          </w:tcPr>
          <w:p>
            <w:pPr>
              <w:spacing w:line="240" w:lineRule="atLeast"/>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w:t>
            </w:r>
            <w:r>
              <w:rPr>
                <w:rFonts w:hint="eastAsia" w:ascii="Times New Roman" w:hAnsi="Times New Roman" w:eastAsia="仿宋"/>
                <w:color w:val="000000" w:themeColor="text1"/>
                <w:sz w:val="24"/>
                <w:szCs w:val="24"/>
                <w14:textFill>
                  <w14:solidFill>
                    <w14:schemeClr w14:val="tx1"/>
                  </w14:solidFill>
                </w14:textFill>
              </w:rPr>
              <w:t>.金融支持</w:t>
            </w:r>
          </w:p>
        </w:tc>
        <w:tc>
          <w:tcPr>
            <w:tcW w:w="6542" w:type="dxa"/>
            <w:vAlign w:val="center"/>
          </w:tcPr>
          <w:p>
            <w:pPr>
              <w:numPr>
                <w:ilvl w:val="255"/>
                <w:numId w:val="0"/>
              </w:numPr>
              <w:spacing w:line="360" w:lineRule="auto"/>
              <w:rPr>
                <w:rFonts w:ascii="Times New Roman" w:hAnsi="Times New Roman" w:eastAsia="仿宋"/>
                <w:color w:val="000000" w:themeColor="text1"/>
                <w:sz w:val="24"/>
                <w:szCs w:val="24"/>
                <w:lang w:bidi="ar"/>
                <w14:textFill>
                  <w14:solidFill>
                    <w14:schemeClr w14:val="tx1"/>
                  </w14:solidFill>
                </w14:textFill>
              </w:rPr>
            </w:pPr>
            <w:r>
              <w:rPr>
                <w:rFonts w:hint="eastAsia" w:ascii="Times New Roman" w:hAnsi="Times New Roman" w:eastAsia="仿宋"/>
                <w:color w:val="000000" w:themeColor="text1"/>
                <w:sz w:val="24"/>
                <w:szCs w:val="24"/>
                <w:lang w:bidi="ar"/>
                <w14:textFill>
                  <w14:solidFill>
                    <w14:schemeClr w14:val="tx1"/>
                  </w14:solidFill>
                </w14:textFill>
              </w:rPr>
              <w:t xml:space="preserve">①对装配式建筑开发项目给予综合金融支持，开辟绿色通道，给予信贷额度、利率等方面的支持。 </w:t>
            </w:r>
          </w:p>
          <w:p>
            <w:pPr>
              <w:spacing w:line="360" w:lineRule="auto"/>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②</w:t>
            </w:r>
            <w:r>
              <w:rPr>
                <w:rFonts w:hint="eastAsia" w:ascii="Times New Roman" w:hAnsi="Times New Roman" w:eastAsia="仿宋"/>
                <w:color w:val="000000" w:themeColor="text1"/>
                <w:sz w:val="24"/>
                <w:szCs w:val="24"/>
                <w:lang w:bidi="ar"/>
                <w14:textFill>
                  <w14:solidFill>
                    <w14:schemeClr w14:val="tx1"/>
                  </w14:solidFill>
                </w14:textFill>
              </w:rPr>
              <w:t>对购买装配式商品住宅的，优先给予信贷支持。农村自建采用装配式建造的，在贷款利率等方面给予支持。</w:t>
            </w:r>
          </w:p>
        </w:tc>
      </w:tr>
    </w:tbl>
    <w:p>
      <w:pPr>
        <w:widowControl/>
        <w:wordWrap w:val="0"/>
        <w:spacing w:line="360" w:lineRule="auto"/>
        <w:rPr>
          <w:rFonts w:ascii="Times New Roman" w:hAnsi="Times New Roman" w:eastAsia="黑体"/>
          <w:b/>
          <w:bCs/>
          <w:color w:val="000000" w:themeColor="text1"/>
          <w:sz w:val="30"/>
          <w:szCs w:val="30"/>
          <w14:textFill>
            <w14:solidFill>
              <w14:schemeClr w14:val="tx1"/>
            </w14:solidFill>
          </w14:textFill>
        </w:rPr>
      </w:pPr>
      <w:bookmarkStart w:id="133" w:name="_Toc529282355"/>
    </w:p>
    <w:p>
      <w:pPr>
        <w:pStyle w:val="3"/>
        <w:numPr>
          <w:ilvl w:val="255"/>
          <w:numId w:val="0"/>
        </w:numPr>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134" w:name="_Toc12827"/>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六、强化资金保障</w:t>
      </w:r>
      <w:bookmarkEnd w:id="129"/>
      <w:bookmarkEnd w:id="130"/>
      <w:bookmarkEnd w:id="131"/>
      <w:bookmarkEnd w:id="132"/>
      <w:bookmarkEnd w:id="133"/>
      <w:bookmarkEnd w:id="134"/>
    </w:p>
    <w:p>
      <w:pPr>
        <w:widowControl/>
        <w:wordWrap w:val="0"/>
        <w:spacing w:line="360" w:lineRule="auto"/>
        <w:ind w:firstLine="640"/>
        <w:rPr>
          <w:rFonts w:ascii="仿宋_GB2312" w:hAnsi="Times New Roman" w:eastAsia="仿宋_GB2312" w:cs="Times New Roman"/>
          <w:color w:val="000000" w:themeColor="text1"/>
          <w:sz w:val="28"/>
          <w:szCs w:val="28"/>
          <w14:textFill>
            <w14:solidFill>
              <w14:schemeClr w14:val="tx1"/>
            </w14:solidFill>
          </w14:textFill>
        </w:rPr>
      </w:pPr>
      <w:r>
        <w:rPr>
          <w:rFonts w:hint="eastAsia" w:ascii="仿宋_GB2312" w:hAnsi="Times New Roman" w:eastAsia="仿宋_GB2312" w:cs="Times New Roman"/>
          <w:sz w:val="28"/>
          <w:szCs w:val="28"/>
        </w:rPr>
        <w:t>积极拓展专项资金引导支持范围，统筹节能减排补助专项、科技推广专项、重大科技专项等相关专项资金，重点支持装配式建筑示范项目和开展装配式建筑的人员培训。</w:t>
      </w:r>
    </w:p>
    <w:p>
      <w:pPr>
        <w:pStyle w:val="3"/>
        <w:numPr>
          <w:ilvl w:val="255"/>
          <w:numId w:val="0"/>
        </w:numPr>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135" w:name="_Toc13042"/>
      <w:bookmarkStart w:id="136" w:name="_Toc529282356"/>
      <w:bookmarkStart w:id="137" w:name="_Toc509571603"/>
      <w:bookmarkStart w:id="138" w:name="_Toc524"/>
      <w:bookmarkStart w:id="139" w:name="_Toc15632"/>
      <w:bookmarkStart w:id="140" w:name="_Toc509571339"/>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七、强化队伍建设</w:t>
      </w:r>
      <w:bookmarkEnd w:id="135"/>
      <w:bookmarkEnd w:id="136"/>
      <w:bookmarkEnd w:id="137"/>
      <w:bookmarkEnd w:id="138"/>
      <w:bookmarkEnd w:id="139"/>
      <w:bookmarkEnd w:id="140"/>
    </w:p>
    <w:p>
      <w:pPr>
        <w:widowControl/>
        <w:wordWrap w:val="0"/>
        <w:spacing w:line="360" w:lineRule="auto"/>
        <w:ind w:firstLine="64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引进和培养相关工程技术人员、管理人员，制定人才住房、</w:t>
      </w:r>
      <w:r>
        <w:rPr>
          <w:rFonts w:ascii="Times New Roman" w:hAnsi="Times New Roman" w:eastAsia="仿宋_GB2312" w:cs="Times New Roman"/>
          <w:color w:val="000000" w:themeColor="text1"/>
          <w:sz w:val="28"/>
          <w:szCs w:val="28"/>
          <w14:textFill>
            <w14:solidFill>
              <w14:schemeClr w14:val="tx1"/>
            </w14:solidFill>
          </w14:textFill>
        </w:rPr>
        <w:t>人才</w:t>
      </w:r>
      <w:r>
        <w:rPr>
          <w:rFonts w:hint="eastAsia" w:ascii="Times New Roman" w:hAnsi="Times New Roman" w:eastAsia="仿宋_GB2312" w:cs="Times New Roman"/>
          <w:color w:val="000000" w:themeColor="text1"/>
          <w:sz w:val="28"/>
          <w:szCs w:val="28"/>
          <w14:textFill>
            <w14:solidFill>
              <w14:schemeClr w14:val="tx1"/>
            </w14:solidFill>
          </w14:textFill>
        </w:rPr>
        <w:t>补贴等政策，</w:t>
      </w:r>
      <w:r>
        <w:rPr>
          <w:rFonts w:ascii="Times New Roman" w:hAnsi="Times New Roman" w:eastAsia="仿宋_GB2312" w:cs="Times New Roman"/>
          <w:color w:val="000000" w:themeColor="text1"/>
          <w:sz w:val="28"/>
          <w:szCs w:val="28"/>
          <w14:textFill>
            <w14:solidFill>
              <w14:schemeClr w14:val="tx1"/>
            </w14:solidFill>
          </w14:textFill>
        </w:rPr>
        <w:t>吸引</w:t>
      </w:r>
      <w:r>
        <w:rPr>
          <w:rFonts w:hint="eastAsia" w:ascii="Times New Roman" w:hAnsi="Times New Roman" w:eastAsia="仿宋_GB2312" w:cs="Times New Roman"/>
          <w:color w:val="000000" w:themeColor="text1"/>
          <w:sz w:val="28"/>
          <w:szCs w:val="28"/>
          <w14:textFill>
            <w14:solidFill>
              <w14:schemeClr w14:val="tx1"/>
            </w14:solidFill>
          </w14:textFill>
        </w:rPr>
        <w:t>具有相关经验的人才参与建设；市住房城乡建设局积极组织参观示范基地、示范项目，</w:t>
      </w:r>
      <w:r>
        <w:rPr>
          <w:rFonts w:ascii="Times New Roman" w:hAnsi="Times New Roman" w:eastAsia="仿宋_GB2312" w:cs="Times New Roman"/>
          <w:color w:val="000000" w:themeColor="text1"/>
          <w:sz w:val="28"/>
          <w:szCs w:val="28"/>
          <w14:textFill>
            <w14:solidFill>
              <w14:schemeClr w14:val="tx1"/>
            </w14:solidFill>
          </w14:textFill>
        </w:rPr>
        <w:t>学习</w:t>
      </w:r>
      <w:r>
        <w:rPr>
          <w:rFonts w:hint="eastAsia" w:ascii="Times New Roman" w:hAnsi="Times New Roman" w:eastAsia="仿宋_GB2312" w:cs="Times New Roman"/>
          <w:color w:val="000000" w:themeColor="text1"/>
          <w:sz w:val="28"/>
          <w:szCs w:val="28"/>
          <w14:textFill>
            <w14:solidFill>
              <w14:schemeClr w14:val="tx1"/>
            </w14:solidFill>
          </w14:textFill>
        </w:rPr>
        <w:t>建设经验，</w:t>
      </w:r>
      <w:r>
        <w:rPr>
          <w:rFonts w:ascii="Times New Roman" w:hAnsi="Times New Roman" w:eastAsia="仿宋_GB2312" w:cs="Times New Roman"/>
          <w:color w:val="000000" w:themeColor="text1"/>
          <w:sz w:val="28"/>
          <w:szCs w:val="28"/>
          <w14:textFill>
            <w14:solidFill>
              <w14:schemeClr w14:val="tx1"/>
            </w14:solidFill>
          </w14:textFill>
        </w:rPr>
        <w:t>推进</w:t>
      </w:r>
      <w:r>
        <w:rPr>
          <w:rFonts w:hint="eastAsia" w:ascii="Times New Roman" w:hAnsi="Times New Roman" w:eastAsia="仿宋_GB2312" w:cs="Times New Roman"/>
          <w:color w:val="000000" w:themeColor="text1"/>
          <w:sz w:val="28"/>
          <w:szCs w:val="28"/>
          <w14:textFill>
            <w14:solidFill>
              <w14:schemeClr w14:val="tx1"/>
            </w14:solidFill>
          </w14:textFill>
        </w:rPr>
        <w:t>交流学习，有针对性的参加多层次的装配式建筑知识培训，提高行业领导干部、企业负责人、专业技术人员、经营管理人员的管理能力和技术水平，培养出熟悉装配式建筑和建筑信息模型（BIM）技术的人才队伍，全面增强本市装配式建筑发展软实力。</w:t>
      </w:r>
    </w:p>
    <w:p>
      <w:pPr>
        <w:pStyle w:val="3"/>
        <w:numPr>
          <w:ilvl w:val="255"/>
          <w:numId w:val="0"/>
        </w:numPr>
        <w:tabs>
          <w:tab w:val="left" w:pos="6298"/>
        </w:tabs>
        <w:spacing w:before="100" w:after="100"/>
        <w:rPr>
          <w:rFonts w:ascii="Times New Roman" w:hAnsi="Times New Roman" w:eastAsia="黑体"/>
          <w:b w:val="0"/>
          <w:bCs w:val="0"/>
          <w:color w:val="000000" w:themeColor="text1"/>
          <w:sz w:val="30"/>
          <w:szCs w:val="30"/>
          <w14:textFill>
            <w14:solidFill>
              <w14:schemeClr w14:val="tx1"/>
            </w14:solidFill>
          </w14:textFill>
        </w:rPr>
      </w:pPr>
      <w:bookmarkStart w:id="141" w:name="_Toc529282357"/>
      <w:bookmarkStart w:id="142" w:name="_Toc509571604"/>
      <w:bookmarkStart w:id="143" w:name="_Toc30809"/>
      <w:bookmarkStart w:id="144" w:name="_Toc14787"/>
      <w:bookmarkStart w:id="145" w:name="_Toc509571340"/>
      <w:bookmarkStart w:id="146" w:name="_Toc14267"/>
      <w:r>
        <w:rPr>
          <w:rFonts w:hint="eastAsia" w:ascii="Times New Roman" w:hAnsi="Times New Roman" w:eastAsia="黑体"/>
          <w:b w:val="0"/>
          <w:bCs w:val="0"/>
          <w:color w:val="000000" w:themeColor="text1"/>
          <w:sz w:val="30"/>
          <w:szCs w:val="30"/>
          <w:lang w:val="en-US" w:eastAsia="zh-CN"/>
          <w14:textFill>
            <w14:solidFill>
              <w14:schemeClr w14:val="tx1"/>
            </w14:solidFill>
          </w14:textFill>
        </w:rPr>
        <w:t xml:space="preserve">    </w:t>
      </w:r>
      <w:r>
        <w:rPr>
          <w:rFonts w:hint="eastAsia" w:ascii="Times New Roman" w:hAnsi="Times New Roman" w:eastAsia="黑体"/>
          <w:b w:val="0"/>
          <w:bCs w:val="0"/>
          <w:color w:val="000000" w:themeColor="text1"/>
          <w:sz w:val="30"/>
          <w:szCs w:val="30"/>
          <w14:textFill>
            <w14:solidFill>
              <w14:schemeClr w14:val="tx1"/>
            </w14:solidFill>
          </w14:textFill>
        </w:rPr>
        <w:t>八、加强宣传推广</w:t>
      </w:r>
      <w:bookmarkEnd w:id="141"/>
      <w:bookmarkEnd w:id="142"/>
      <w:bookmarkEnd w:id="143"/>
      <w:bookmarkEnd w:id="144"/>
      <w:bookmarkEnd w:id="145"/>
      <w:bookmarkEnd w:id="146"/>
    </w:p>
    <w:p>
      <w:pPr>
        <w:numPr>
          <w:ilvl w:val="255"/>
          <w:numId w:val="0"/>
        </w:num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通过组织现场观摩、经验交流会等形式，推广装配式建筑示范项目，强化业内交流和合作</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利用电视、广播、报刊、网络等新闻媒介，通过典型案例介绍、专家解读、实地访谈等形式，宣传装配式建筑</w:t>
      </w:r>
      <w:r>
        <w:rPr>
          <w:rFonts w:ascii="Times New Roman" w:hAnsi="Times New Roman" w:eastAsia="仿宋_GB2312" w:cs="Times New Roman"/>
          <w:color w:val="000000" w:themeColor="text1"/>
          <w:sz w:val="28"/>
          <w:szCs w:val="28"/>
          <w14:textFill>
            <w14:solidFill>
              <w14:schemeClr w14:val="tx1"/>
            </w14:solidFill>
          </w14:textFill>
        </w:rPr>
        <w:t>政策措施</w:t>
      </w:r>
      <w:r>
        <w:rPr>
          <w:rFonts w:hint="eastAsia" w:ascii="Times New Roman" w:hAnsi="Times New Roman" w:eastAsia="仿宋_GB2312" w:cs="Times New Roman"/>
          <w:color w:val="000000" w:themeColor="text1"/>
          <w:sz w:val="28"/>
          <w:szCs w:val="28"/>
          <w14:textFill>
            <w14:solidFill>
              <w14:schemeClr w14:val="tx1"/>
            </w14:solidFill>
          </w14:textFill>
        </w:rPr>
        <w:t>、基本知识、经济社会环境效益及先进性、优越性，拍摄装配式建筑主题宣传片或在旅游宣传片中加入装配式建筑建设美好家园的内容，提高公众对装配式建筑的认知和认同度，形成市场供需双方共同支持装配式建筑发展的良好氛围。</w:t>
      </w:r>
      <w:bookmarkEnd w:id="96"/>
    </w:p>
    <w:p>
      <w:pPr>
        <w:rPr>
          <w:rFonts w:ascii="Times New Roman" w:hAnsi="Times New Roman"/>
          <w:color w:val="000000" w:themeColor="text1"/>
          <w14:textFill>
            <w14:solidFill>
              <w14:schemeClr w14:val="tx1"/>
            </w14:solidFill>
          </w14:textFill>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黑体">
    <w:panose1 w:val="02010609060101010101"/>
    <w:charset w:val="86"/>
    <w:family w:val="swiss"/>
    <w:pitch w:val="default"/>
    <w:sig w:usb0="800002BF" w:usb1="38CF7CFA" w:usb2="00000016" w:usb3="00000000" w:csb0="00040001" w:csb1="00000000"/>
  </w:font>
  <w:font w:name="Courier New">
    <w:panose1 w:val="02070309020205020404"/>
    <w:charset w:val="00"/>
    <w:family w:val="swiss"/>
    <w:pitch w:val="default"/>
    <w:sig w:usb0="E0002AFF" w:usb1="C0007843" w:usb2="00000009" w:usb3="00000000" w:csb0="400001FF" w:csb1="FFFF0000"/>
  </w:font>
  <w:font w:name="仿宋">
    <w:panose1 w:val="02010609060101010101"/>
    <w:charset w:val="86"/>
    <w:family w:val="swiss"/>
    <w:pitch w:val="default"/>
    <w:sig w:usb0="800002BF" w:usb1="38CF7CFA" w:usb2="00000016" w:usb3="00000000" w:csb0="00040001" w:csb1="00000000"/>
  </w:font>
  <w:font w:name="仿宋_GB2312">
    <w:panose1 w:val="02010609030101010101"/>
    <w:charset w:val="86"/>
    <w:family w:val="swiss"/>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snapToGrid w:val="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hpgkvT&#10;AAAABQEAAA8AAAAAAAAAAQAgAAAAIgAAAGRycy9kb3ducmV2LnhtbFBLAQIUABQAAAAIAIdO4kD2&#10;bObSswEAAEwDAAAOAAAAAAAAAAEAIAAAACIBAABkcnMvZTJvRG9jLnhtbFBLBQYAAAAABgAGAFkB&#10;AABHBQAAAAA=&#10;">
              <v:fill on="f" focussize="0,0"/>
              <v:stroke on="f" weight="1.25pt"/>
              <v:imagedata o:title=""/>
              <o:lock v:ext="edit" aspectratio="f"/>
              <v:textbox inset="0mm,0mm,0mm,0mm" style="mso-fit-shape-to-text:t;">
                <w:txbxContent>
                  <w:p>
                    <w:pPr>
                      <w:snapToGrid w:val="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0"/>
      </w:pPr>
      <w:r>
        <w:rPr>
          <w:rStyle w:val="20"/>
        </w:rPr>
        <w:t>[</w:t>
      </w:r>
      <w:r>
        <w:rPr>
          <w:rStyle w:val="20"/>
        </w:rPr>
        <w:footnoteRef/>
      </w:r>
      <w:r>
        <w:rPr>
          <w:rStyle w:val="20"/>
        </w:rPr>
        <w:t>]</w:t>
      </w:r>
      <w:r>
        <w:t xml:space="preserve"> </w:t>
      </w:r>
      <w:r>
        <w:rPr>
          <w:rFonts w:hint="eastAsia"/>
        </w:rPr>
        <w:t>海南统计年鉴（2012-2017）</w:t>
      </w:r>
    </w:p>
  </w:footnote>
  <w:footnote w:id="1">
    <w:p>
      <w:pPr>
        <w:pStyle w:val="10"/>
      </w:pPr>
      <w:r>
        <w:rPr>
          <w:rStyle w:val="20"/>
        </w:rPr>
        <w:t>[</w:t>
      </w:r>
      <w:r>
        <w:rPr>
          <w:rStyle w:val="20"/>
        </w:rPr>
        <w:footnoteRef/>
      </w:r>
      <w:r>
        <w:rPr>
          <w:rStyle w:val="20"/>
        </w:rPr>
        <w:t>]</w:t>
      </w:r>
      <w:r>
        <w:rPr>
          <w:rFonts w:hint="eastAsia"/>
        </w:rPr>
        <w:t>海南省总体规划（2015-2030）</w:t>
      </w:r>
    </w:p>
  </w:footnote>
  <w:footnote w:id="2">
    <w:p>
      <w:pPr>
        <w:pStyle w:val="10"/>
      </w:pPr>
      <w:r>
        <w:rPr>
          <w:rStyle w:val="20"/>
        </w:rPr>
        <w:t>[</w:t>
      </w:r>
      <w:r>
        <w:rPr>
          <w:rStyle w:val="20"/>
        </w:rPr>
        <w:footnoteRef/>
      </w:r>
      <w:r>
        <w:rPr>
          <w:rStyle w:val="20"/>
        </w:rPr>
        <w:t>]</w:t>
      </w:r>
      <w:r>
        <w:t xml:space="preserve"> </w:t>
      </w:r>
      <w:r>
        <w:rPr>
          <w:rFonts w:hint="eastAsia"/>
        </w:rPr>
        <w:t>五指山市国民经济和社会发展第十三个五年规划纲要</w:t>
      </w:r>
    </w:p>
  </w:footnote>
  <w:footnote w:id="3">
    <w:p>
      <w:pPr>
        <w:pStyle w:val="10"/>
      </w:pPr>
      <w:r>
        <w:rPr>
          <w:rStyle w:val="20"/>
        </w:rPr>
        <w:t>[</w:t>
      </w:r>
      <w:r>
        <w:rPr>
          <w:rStyle w:val="20"/>
        </w:rPr>
        <w:footnoteRef/>
      </w:r>
      <w:r>
        <w:rPr>
          <w:rStyle w:val="20"/>
        </w:rPr>
        <w:t>]</w:t>
      </w:r>
      <w:r>
        <w:t xml:space="preserve"> </w:t>
      </w:r>
      <w:r>
        <w:rPr>
          <w:rFonts w:hint="eastAsia"/>
        </w:rPr>
        <w:t>海南统计年鉴（2012-2017）</w:t>
      </w:r>
    </w:p>
  </w:footnote>
  <w:footnote w:id="4">
    <w:p>
      <w:pPr>
        <w:pStyle w:val="10"/>
      </w:pPr>
      <w:r>
        <w:rPr>
          <w:rStyle w:val="20"/>
        </w:rPr>
        <w:t>[</w:t>
      </w:r>
      <w:r>
        <w:rPr>
          <w:rStyle w:val="20"/>
        </w:rPr>
        <w:footnoteRef/>
      </w:r>
      <w:r>
        <w:rPr>
          <w:rStyle w:val="20"/>
        </w:rPr>
        <w:t>]</w:t>
      </w:r>
      <w:r>
        <w:t xml:space="preserve"> </w:t>
      </w:r>
      <w:r>
        <w:rPr>
          <w:rFonts w:hint="eastAsia"/>
        </w:rPr>
        <w:t>海南统计年鉴（2012-2017）</w:t>
      </w:r>
    </w:p>
  </w:footnote>
  <w:footnote w:id="5">
    <w:p>
      <w:pPr>
        <w:pStyle w:val="10"/>
      </w:pPr>
      <w:r>
        <w:rPr>
          <w:rStyle w:val="20"/>
        </w:rPr>
        <w:t>[</w:t>
      </w:r>
      <w:r>
        <w:rPr>
          <w:rStyle w:val="20"/>
        </w:rPr>
        <w:footnoteRef/>
      </w:r>
      <w:r>
        <w:rPr>
          <w:rStyle w:val="20"/>
        </w:rPr>
        <w:t>]</w:t>
      </w:r>
      <w:r>
        <w:t xml:space="preserve"> </w:t>
      </w:r>
      <w:r>
        <w:rPr>
          <w:rFonts w:hint="eastAsia"/>
        </w:rPr>
        <w:t>海南统计年鉴（2010-2017）</w:t>
      </w:r>
    </w:p>
  </w:footnote>
  <w:footnote w:id="6">
    <w:p>
      <w:pPr>
        <w:pStyle w:val="10"/>
      </w:pPr>
      <w:r>
        <w:rPr>
          <w:rStyle w:val="20"/>
        </w:rPr>
        <w:t>[</w:t>
      </w:r>
      <w:r>
        <w:rPr>
          <w:rStyle w:val="20"/>
        </w:rPr>
        <w:footnoteRef/>
      </w:r>
      <w:r>
        <w:rPr>
          <w:rStyle w:val="20"/>
        </w:rPr>
        <w:t>]</w:t>
      </w:r>
      <w:r>
        <w:t xml:space="preserve"> </w:t>
      </w:r>
      <w:r>
        <w:rPr>
          <w:rFonts w:hint="eastAsia"/>
        </w:rPr>
        <w:t>海南统计年鉴（2010-2017）</w:t>
      </w:r>
    </w:p>
  </w:footnote>
  <w:footnote w:id="7">
    <w:p>
      <w:pPr>
        <w:pStyle w:val="10"/>
      </w:pPr>
      <w:r>
        <w:rPr>
          <w:rStyle w:val="20"/>
        </w:rPr>
        <w:t>[</w:t>
      </w:r>
      <w:r>
        <w:rPr>
          <w:rStyle w:val="20"/>
        </w:rPr>
        <w:footnoteRef/>
      </w:r>
      <w:r>
        <w:rPr>
          <w:rStyle w:val="20"/>
        </w:rPr>
        <w:t>]</w:t>
      </w:r>
      <w:r>
        <w:t xml:space="preserve"> </w:t>
      </w:r>
      <w:r>
        <w:rPr>
          <w:rFonts w:hint="eastAsia"/>
        </w:rPr>
        <w:t>累计装配式建筑总面积：指到当年末全市装配式建筑累计开工面积。</w:t>
      </w:r>
    </w:p>
  </w:footnote>
  <w:footnote w:id="8">
    <w:p>
      <w:pPr>
        <w:pStyle w:val="10"/>
      </w:pPr>
      <w:r>
        <w:rPr>
          <w:rStyle w:val="20"/>
        </w:rPr>
        <w:t>[</w:t>
      </w:r>
      <w:r>
        <w:rPr>
          <w:rStyle w:val="20"/>
        </w:rPr>
        <w:footnoteRef/>
      </w:r>
      <w:r>
        <w:rPr>
          <w:rStyle w:val="20"/>
        </w:rPr>
        <w:t>]</w:t>
      </w:r>
      <w:r>
        <w:t xml:space="preserve"> </w:t>
      </w:r>
      <w:r>
        <w:rPr>
          <w:rFonts w:hint="eastAsia"/>
        </w:rPr>
        <w:t>装配式建筑占新建建筑比例：指全市新开工装配式建筑面积占新开工建筑（具备条件建设装配式建筑的）面积的比例。</w:t>
      </w:r>
    </w:p>
  </w:footnote>
  <w:footnote w:id="9">
    <w:p>
      <w:pPr>
        <w:pStyle w:val="10"/>
      </w:pPr>
      <w:r>
        <w:rPr>
          <w:rStyle w:val="20"/>
        </w:rPr>
        <w:t>[</w:t>
      </w:r>
      <w:r>
        <w:rPr>
          <w:rStyle w:val="20"/>
        </w:rPr>
        <w:footnoteRef/>
      </w:r>
      <w:r>
        <w:rPr>
          <w:rStyle w:val="20"/>
        </w:rPr>
        <w:t>]</w:t>
      </w:r>
      <w:r>
        <w:t xml:space="preserve"> </w:t>
      </w:r>
      <w:r>
        <w:rPr>
          <w:rFonts w:hint="eastAsia"/>
        </w:rPr>
        <w:t>政府投资项目装配式建筑实施比例：指在全市新开工的政府投资项目中装配式建筑占新开工建筑（具备条件建设装配式建筑的）面积的比例。</w:t>
      </w:r>
    </w:p>
  </w:footnote>
  <w:footnote w:id="10">
    <w:p>
      <w:pPr>
        <w:pStyle w:val="10"/>
      </w:pPr>
      <w:r>
        <w:rPr>
          <w:rStyle w:val="20"/>
        </w:rPr>
        <w:t>[</w:t>
      </w:r>
      <w:r>
        <w:rPr>
          <w:rStyle w:val="20"/>
        </w:rPr>
        <w:footnoteRef/>
      </w:r>
      <w:r>
        <w:rPr>
          <w:rStyle w:val="20"/>
        </w:rPr>
        <w:t>]</w:t>
      </w:r>
      <w:r>
        <w:t xml:space="preserve"> </w:t>
      </w:r>
      <w:r>
        <w:rPr>
          <w:rFonts w:hint="eastAsia"/>
        </w:rPr>
        <w:t>全过程BIM应用项目比例：指采用全过程BIM的装配式建筑项目数量占全部在建装配式建筑项目的比例。</w:t>
      </w:r>
    </w:p>
  </w:footnote>
  <w:footnote w:id="11">
    <w:p>
      <w:pPr>
        <w:pStyle w:val="10"/>
      </w:pPr>
      <w:r>
        <w:rPr>
          <w:rStyle w:val="20"/>
        </w:rPr>
        <w:t>[</w:t>
      </w:r>
      <w:r>
        <w:rPr>
          <w:rStyle w:val="20"/>
        </w:rPr>
        <w:footnoteRef/>
      </w:r>
      <w:r>
        <w:rPr>
          <w:rStyle w:val="20"/>
        </w:rPr>
        <w:t>]</w:t>
      </w:r>
      <w:r>
        <w:rPr>
          <w:rFonts w:hint="eastAsia"/>
        </w:rPr>
        <w:t xml:space="preserve"> 装配式建筑项目工程总承包（EPC）比例：指采用工程总承包模式的装配式建筑项目数量占全部在建装配式建筑项目的比例。</w:t>
      </w:r>
    </w:p>
  </w:footnote>
  <w:footnote w:id="12">
    <w:p>
      <w:pPr>
        <w:pStyle w:val="10"/>
      </w:pPr>
      <w:r>
        <w:rPr>
          <w:rStyle w:val="20"/>
        </w:rPr>
        <w:t>[</w:t>
      </w:r>
      <w:r>
        <w:rPr>
          <w:rStyle w:val="20"/>
        </w:rPr>
        <w:footnoteRef/>
      </w:r>
      <w:r>
        <w:rPr>
          <w:rStyle w:val="20"/>
        </w:rPr>
        <w:t>]</w:t>
      </w:r>
      <w:r>
        <w:t xml:space="preserve"> </w:t>
      </w:r>
      <w:r>
        <w:rPr>
          <w:rFonts w:hint="eastAsia"/>
        </w:rPr>
        <w:t>政府投资装配式建筑项目工程总承包（EPC）比例：指采用工程总承包模式的政府投资装配式建筑项目数量占全部在建政府投资装配式建筑项目的比例。</w:t>
      </w:r>
    </w:p>
  </w:footnote>
  <w:footnote w:id="13">
    <w:p>
      <w:pPr>
        <w:pStyle w:val="10"/>
      </w:pPr>
      <w:r>
        <w:rPr>
          <w:rStyle w:val="20"/>
        </w:rPr>
        <w:t>[</w:t>
      </w:r>
      <w:r>
        <w:rPr>
          <w:rStyle w:val="20"/>
        </w:rPr>
        <w:footnoteRef/>
      </w:r>
      <w:r>
        <w:rPr>
          <w:rStyle w:val="20"/>
        </w:rPr>
        <w:t>]</w:t>
      </w:r>
      <w:r>
        <w:t xml:space="preserve"> </w:t>
      </w:r>
      <w:r>
        <w:rPr>
          <w:rFonts w:hint="eastAsia"/>
        </w:rPr>
        <w:t>培训合格技术负责人项目覆盖率：指装配式建筑专业培训合格的技术负责人管理的项目占全部在建装配式建筑项目的比例。</w:t>
      </w:r>
    </w:p>
  </w:footnote>
  <w:footnote w:id="14">
    <w:p>
      <w:pPr>
        <w:pStyle w:val="10"/>
      </w:pPr>
      <w:r>
        <w:rPr>
          <w:rStyle w:val="20"/>
        </w:rPr>
        <w:t>[</w:t>
      </w:r>
      <w:r>
        <w:rPr>
          <w:rStyle w:val="20"/>
        </w:rPr>
        <w:footnoteRef/>
      </w:r>
      <w:r>
        <w:rPr>
          <w:rStyle w:val="20"/>
        </w:rPr>
        <w:t>]</w:t>
      </w:r>
      <w:r>
        <w:t xml:space="preserve"> </w:t>
      </w:r>
      <w:r>
        <w:rPr>
          <w:rFonts w:hint="eastAsia"/>
        </w:rPr>
        <w:t>项目产业工人培训合格上岗率：指装配式建筑项目中上岗工人中产业工人培训合格的比例。</w:t>
      </w:r>
    </w:p>
  </w:footnote>
  <w:footnote w:id="15">
    <w:p>
      <w:pPr>
        <w:pStyle w:val="10"/>
        <w:rPr>
          <w:rFonts w:ascii="仿宋" w:hAnsi="仿宋" w:eastAsia="仿宋" w:cs="仿宋"/>
        </w:rPr>
      </w:pPr>
      <w:r>
        <w:rPr>
          <w:rStyle w:val="20"/>
          <w:rFonts w:hint="eastAsia" w:ascii="仿宋" w:hAnsi="仿宋" w:eastAsia="仿宋" w:cs="仿宋"/>
        </w:rPr>
        <w:footnoteRef/>
      </w:r>
      <w:r>
        <w:rPr>
          <w:rFonts w:hint="eastAsia" w:ascii="仿宋" w:hAnsi="仿宋" w:eastAsia="仿宋" w:cs="仿宋"/>
        </w:rPr>
        <w:t xml:space="preserve"> 生态旅游及特色小镇：通什镇、毛阳镇、南圣镇、水满乡</w:t>
      </w:r>
    </w:p>
    <w:p>
      <w:pPr>
        <w:pStyle w:val="10"/>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D68"/>
    <w:rsid w:val="0001426D"/>
    <w:rsid w:val="0001664C"/>
    <w:rsid w:val="00017503"/>
    <w:rsid w:val="00020F35"/>
    <w:rsid w:val="00024534"/>
    <w:rsid w:val="00034743"/>
    <w:rsid w:val="000348CA"/>
    <w:rsid w:val="00040031"/>
    <w:rsid w:val="00047559"/>
    <w:rsid w:val="00050E85"/>
    <w:rsid w:val="00052329"/>
    <w:rsid w:val="000529E5"/>
    <w:rsid w:val="000533EA"/>
    <w:rsid w:val="0005445C"/>
    <w:rsid w:val="000555F7"/>
    <w:rsid w:val="00056705"/>
    <w:rsid w:val="00056B9D"/>
    <w:rsid w:val="00064B5D"/>
    <w:rsid w:val="00082205"/>
    <w:rsid w:val="00084B0C"/>
    <w:rsid w:val="00091191"/>
    <w:rsid w:val="0009279F"/>
    <w:rsid w:val="000A0FB4"/>
    <w:rsid w:val="000B12C8"/>
    <w:rsid w:val="000B188B"/>
    <w:rsid w:val="000C1DDA"/>
    <w:rsid w:val="000D4859"/>
    <w:rsid w:val="000D62A9"/>
    <w:rsid w:val="000E1C03"/>
    <w:rsid w:val="000E3349"/>
    <w:rsid w:val="000E5FC7"/>
    <w:rsid w:val="000E72BE"/>
    <w:rsid w:val="000F05C4"/>
    <w:rsid w:val="000F5010"/>
    <w:rsid w:val="000F51EA"/>
    <w:rsid w:val="0011194B"/>
    <w:rsid w:val="00111BC0"/>
    <w:rsid w:val="00123C15"/>
    <w:rsid w:val="00123F00"/>
    <w:rsid w:val="001318BD"/>
    <w:rsid w:val="0013216D"/>
    <w:rsid w:val="001331B5"/>
    <w:rsid w:val="00134D6D"/>
    <w:rsid w:val="0015117B"/>
    <w:rsid w:val="00153C57"/>
    <w:rsid w:val="00154B0D"/>
    <w:rsid w:val="00165C72"/>
    <w:rsid w:val="00172A27"/>
    <w:rsid w:val="001740BF"/>
    <w:rsid w:val="00181566"/>
    <w:rsid w:val="00186045"/>
    <w:rsid w:val="00190543"/>
    <w:rsid w:val="001A173F"/>
    <w:rsid w:val="001A1F8F"/>
    <w:rsid w:val="001B31DA"/>
    <w:rsid w:val="001C1737"/>
    <w:rsid w:val="001D54E9"/>
    <w:rsid w:val="001D617D"/>
    <w:rsid w:val="001D74C1"/>
    <w:rsid w:val="001F37A2"/>
    <w:rsid w:val="001F667D"/>
    <w:rsid w:val="00226621"/>
    <w:rsid w:val="0023241B"/>
    <w:rsid w:val="002330D3"/>
    <w:rsid w:val="00235268"/>
    <w:rsid w:val="00242BA1"/>
    <w:rsid w:val="0024715D"/>
    <w:rsid w:val="002572DD"/>
    <w:rsid w:val="00263B80"/>
    <w:rsid w:val="00265B89"/>
    <w:rsid w:val="002664BC"/>
    <w:rsid w:val="00267C9A"/>
    <w:rsid w:val="00273B6D"/>
    <w:rsid w:val="002770EF"/>
    <w:rsid w:val="002833CA"/>
    <w:rsid w:val="00285B7D"/>
    <w:rsid w:val="00293B0F"/>
    <w:rsid w:val="002A1E7D"/>
    <w:rsid w:val="002A706D"/>
    <w:rsid w:val="002C20C5"/>
    <w:rsid w:val="002C264F"/>
    <w:rsid w:val="002D05D1"/>
    <w:rsid w:val="002D6590"/>
    <w:rsid w:val="002F71C3"/>
    <w:rsid w:val="003034F6"/>
    <w:rsid w:val="00310EEA"/>
    <w:rsid w:val="00312E2C"/>
    <w:rsid w:val="0033336B"/>
    <w:rsid w:val="003341DB"/>
    <w:rsid w:val="0034361B"/>
    <w:rsid w:val="00347ECE"/>
    <w:rsid w:val="0035717F"/>
    <w:rsid w:val="00357F6F"/>
    <w:rsid w:val="00363026"/>
    <w:rsid w:val="003779F4"/>
    <w:rsid w:val="00393340"/>
    <w:rsid w:val="00394BB5"/>
    <w:rsid w:val="003A257E"/>
    <w:rsid w:val="003B37C8"/>
    <w:rsid w:val="003C1CC7"/>
    <w:rsid w:val="003C2327"/>
    <w:rsid w:val="003C45C3"/>
    <w:rsid w:val="003C4CEC"/>
    <w:rsid w:val="003D51A4"/>
    <w:rsid w:val="003D5F56"/>
    <w:rsid w:val="003F12E1"/>
    <w:rsid w:val="003F76E2"/>
    <w:rsid w:val="00401BE2"/>
    <w:rsid w:val="00402EE5"/>
    <w:rsid w:val="004042E2"/>
    <w:rsid w:val="0040434B"/>
    <w:rsid w:val="00405EDD"/>
    <w:rsid w:val="00412353"/>
    <w:rsid w:val="004352C2"/>
    <w:rsid w:val="00437829"/>
    <w:rsid w:val="004405CE"/>
    <w:rsid w:val="00451421"/>
    <w:rsid w:val="00460011"/>
    <w:rsid w:val="004640E5"/>
    <w:rsid w:val="00472310"/>
    <w:rsid w:val="00472E69"/>
    <w:rsid w:val="00475C0B"/>
    <w:rsid w:val="00482493"/>
    <w:rsid w:val="00491A1C"/>
    <w:rsid w:val="004931A1"/>
    <w:rsid w:val="004A37B5"/>
    <w:rsid w:val="004A46BB"/>
    <w:rsid w:val="004B38E6"/>
    <w:rsid w:val="004C013C"/>
    <w:rsid w:val="004D4AB0"/>
    <w:rsid w:val="004E2A23"/>
    <w:rsid w:val="004E43F0"/>
    <w:rsid w:val="004E4749"/>
    <w:rsid w:val="004E5803"/>
    <w:rsid w:val="004F14B4"/>
    <w:rsid w:val="004F4B04"/>
    <w:rsid w:val="004F4BF3"/>
    <w:rsid w:val="00504255"/>
    <w:rsid w:val="005063FB"/>
    <w:rsid w:val="0051376A"/>
    <w:rsid w:val="0052189F"/>
    <w:rsid w:val="00524E9D"/>
    <w:rsid w:val="0052669C"/>
    <w:rsid w:val="00526FCB"/>
    <w:rsid w:val="00536166"/>
    <w:rsid w:val="005364FE"/>
    <w:rsid w:val="00546472"/>
    <w:rsid w:val="005611F9"/>
    <w:rsid w:val="005630D6"/>
    <w:rsid w:val="00565729"/>
    <w:rsid w:val="0057074D"/>
    <w:rsid w:val="0057389A"/>
    <w:rsid w:val="00575E71"/>
    <w:rsid w:val="0058322F"/>
    <w:rsid w:val="00593FEB"/>
    <w:rsid w:val="005979A3"/>
    <w:rsid w:val="005A0D66"/>
    <w:rsid w:val="005A1690"/>
    <w:rsid w:val="005A31F1"/>
    <w:rsid w:val="005A5EC2"/>
    <w:rsid w:val="005B1E08"/>
    <w:rsid w:val="005B6099"/>
    <w:rsid w:val="005C1703"/>
    <w:rsid w:val="005C20B4"/>
    <w:rsid w:val="005C66FD"/>
    <w:rsid w:val="005C693B"/>
    <w:rsid w:val="005D2139"/>
    <w:rsid w:val="005D4EE1"/>
    <w:rsid w:val="005E3F1F"/>
    <w:rsid w:val="005F24F0"/>
    <w:rsid w:val="005F72FF"/>
    <w:rsid w:val="00605AE2"/>
    <w:rsid w:val="00614442"/>
    <w:rsid w:val="00614B3E"/>
    <w:rsid w:val="00615011"/>
    <w:rsid w:val="00625399"/>
    <w:rsid w:val="006435A1"/>
    <w:rsid w:val="0064499C"/>
    <w:rsid w:val="006523FF"/>
    <w:rsid w:val="0065612D"/>
    <w:rsid w:val="00663ECF"/>
    <w:rsid w:val="006730C4"/>
    <w:rsid w:val="0067439D"/>
    <w:rsid w:val="006827C2"/>
    <w:rsid w:val="00691B8D"/>
    <w:rsid w:val="006964A0"/>
    <w:rsid w:val="00697B3F"/>
    <w:rsid w:val="006A4C13"/>
    <w:rsid w:val="006A7385"/>
    <w:rsid w:val="006B11FA"/>
    <w:rsid w:val="006B3C3C"/>
    <w:rsid w:val="006B481E"/>
    <w:rsid w:val="006B5AEB"/>
    <w:rsid w:val="006C63E2"/>
    <w:rsid w:val="006C65E9"/>
    <w:rsid w:val="006C6EC7"/>
    <w:rsid w:val="006D3143"/>
    <w:rsid w:val="006E0380"/>
    <w:rsid w:val="006E20A9"/>
    <w:rsid w:val="006E40D7"/>
    <w:rsid w:val="006E4A10"/>
    <w:rsid w:val="006F6F0B"/>
    <w:rsid w:val="00700532"/>
    <w:rsid w:val="00700FD7"/>
    <w:rsid w:val="007018DB"/>
    <w:rsid w:val="00707503"/>
    <w:rsid w:val="00711C0D"/>
    <w:rsid w:val="00714D00"/>
    <w:rsid w:val="00722C42"/>
    <w:rsid w:val="007231DC"/>
    <w:rsid w:val="007308A8"/>
    <w:rsid w:val="007327CE"/>
    <w:rsid w:val="00732857"/>
    <w:rsid w:val="007342B0"/>
    <w:rsid w:val="00740D09"/>
    <w:rsid w:val="00754D58"/>
    <w:rsid w:val="007647F2"/>
    <w:rsid w:val="0076609D"/>
    <w:rsid w:val="00772A58"/>
    <w:rsid w:val="00784549"/>
    <w:rsid w:val="00790760"/>
    <w:rsid w:val="00793C76"/>
    <w:rsid w:val="00796ADD"/>
    <w:rsid w:val="007A102F"/>
    <w:rsid w:val="007B1F30"/>
    <w:rsid w:val="007B663D"/>
    <w:rsid w:val="007C01F2"/>
    <w:rsid w:val="007C079B"/>
    <w:rsid w:val="007C0977"/>
    <w:rsid w:val="007C0C77"/>
    <w:rsid w:val="007D0512"/>
    <w:rsid w:val="007D2280"/>
    <w:rsid w:val="007D6E4C"/>
    <w:rsid w:val="007D7F8C"/>
    <w:rsid w:val="007E1D3F"/>
    <w:rsid w:val="007E64A2"/>
    <w:rsid w:val="007F18BC"/>
    <w:rsid w:val="007F5BF7"/>
    <w:rsid w:val="008040EB"/>
    <w:rsid w:val="008048CE"/>
    <w:rsid w:val="00810C1D"/>
    <w:rsid w:val="00811077"/>
    <w:rsid w:val="008203E4"/>
    <w:rsid w:val="00831E46"/>
    <w:rsid w:val="0083266F"/>
    <w:rsid w:val="00836892"/>
    <w:rsid w:val="00837F0D"/>
    <w:rsid w:val="0084063E"/>
    <w:rsid w:val="00851C14"/>
    <w:rsid w:val="00853860"/>
    <w:rsid w:val="008542D6"/>
    <w:rsid w:val="00855DDF"/>
    <w:rsid w:val="00856260"/>
    <w:rsid w:val="008608F5"/>
    <w:rsid w:val="00877143"/>
    <w:rsid w:val="00885B6B"/>
    <w:rsid w:val="00886E86"/>
    <w:rsid w:val="00894013"/>
    <w:rsid w:val="008960AD"/>
    <w:rsid w:val="00897325"/>
    <w:rsid w:val="008A1DAE"/>
    <w:rsid w:val="008A2067"/>
    <w:rsid w:val="008A626F"/>
    <w:rsid w:val="008B2A8B"/>
    <w:rsid w:val="008B2BF5"/>
    <w:rsid w:val="008B72DA"/>
    <w:rsid w:val="008C76B3"/>
    <w:rsid w:val="008D21C7"/>
    <w:rsid w:val="008E5570"/>
    <w:rsid w:val="008F5D01"/>
    <w:rsid w:val="008F79CB"/>
    <w:rsid w:val="009049EB"/>
    <w:rsid w:val="00912277"/>
    <w:rsid w:val="00913598"/>
    <w:rsid w:val="00920B90"/>
    <w:rsid w:val="00923C2D"/>
    <w:rsid w:val="00923EE3"/>
    <w:rsid w:val="00924B62"/>
    <w:rsid w:val="00932DC9"/>
    <w:rsid w:val="009410BE"/>
    <w:rsid w:val="00946A54"/>
    <w:rsid w:val="00964D61"/>
    <w:rsid w:val="00970428"/>
    <w:rsid w:val="00972B43"/>
    <w:rsid w:val="00974A67"/>
    <w:rsid w:val="00975AE2"/>
    <w:rsid w:val="00986D76"/>
    <w:rsid w:val="009915D4"/>
    <w:rsid w:val="009A2A34"/>
    <w:rsid w:val="009A2FC4"/>
    <w:rsid w:val="009A365C"/>
    <w:rsid w:val="009A6123"/>
    <w:rsid w:val="009D35F6"/>
    <w:rsid w:val="009D3B98"/>
    <w:rsid w:val="009D4E94"/>
    <w:rsid w:val="009D4F78"/>
    <w:rsid w:val="009E0C76"/>
    <w:rsid w:val="009E24B3"/>
    <w:rsid w:val="009F2FD6"/>
    <w:rsid w:val="009F532C"/>
    <w:rsid w:val="00A00F10"/>
    <w:rsid w:val="00A01871"/>
    <w:rsid w:val="00A030B2"/>
    <w:rsid w:val="00A04AC1"/>
    <w:rsid w:val="00A04B26"/>
    <w:rsid w:val="00A11F68"/>
    <w:rsid w:val="00A15B76"/>
    <w:rsid w:val="00A17CAA"/>
    <w:rsid w:val="00A210FA"/>
    <w:rsid w:val="00A21FD4"/>
    <w:rsid w:val="00A22671"/>
    <w:rsid w:val="00A269B4"/>
    <w:rsid w:val="00A30AC9"/>
    <w:rsid w:val="00A310C0"/>
    <w:rsid w:val="00A3722B"/>
    <w:rsid w:val="00A522DB"/>
    <w:rsid w:val="00A56ED8"/>
    <w:rsid w:val="00A60F2D"/>
    <w:rsid w:val="00A63206"/>
    <w:rsid w:val="00A72DAD"/>
    <w:rsid w:val="00A82C7F"/>
    <w:rsid w:val="00A87B2A"/>
    <w:rsid w:val="00A92BDC"/>
    <w:rsid w:val="00A951E8"/>
    <w:rsid w:val="00AA6DC0"/>
    <w:rsid w:val="00AA78C5"/>
    <w:rsid w:val="00AB0A24"/>
    <w:rsid w:val="00AB1595"/>
    <w:rsid w:val="00AC2B4D"/>
    <w:rsid w:val="00AD4D9D"/>
    <w:rsid w:val="00AD6B20"/>
    <w:rsid w:val="00AF17B3"/>
    <w:rsid w:val="00AF3D97"/>
    <w:rsid w:val="00B14323"/>
    <w:rsid w:val="00B15468"/>
    <w:rsid w:val="00B15D85"/>
    <w:rsid w:val="00B16F3E"/>
    <w:rsid w:val="00B17379"/>
    <w:rsid w:val="00B26FB8"/>
    <w:rsid w:val="00B36A06"/>
    <w:rsid w:val="00B424F6"/>
    <w:rsid w:val="00B4410D"/>
    <w:rsid w:val="00B4597E"/>
    <w:rsid w:val="00B502A8"/>
    <w:rsid w:val="00B6088F"/>
    <w:rsid w:val="00B65391"/>
    <w:rsid w:val="00B67C51"/>
    <w:rsid w:val="00B75F90"/>
    <w:rsid w:val="00B80D40"/>
    <w:rsid w:val="00B80EED"/>
    <w:rsid w:val="00B81C85"/>
    <w:rsid w:val="00B87260"/>
    <w:rsid w:val="00B91F56"/>
    <w:rsid w:val="00B93200"/>
    <w:rsid w:val="00B9350E"/>
    <w:rsid w:val="00BA0E24"/>
    <w:rsid w:val="00BB15BA"/>
    <w:rsid w:val="00BB181A"/>
    <w:rsid w:val="00BC2AD1"/>
    <w:rsid w:val="00BC40E2"/>
    <w:rsid w:val="00BC42A1"/>
    <w:rsid w:val="00BC4A25"/>
    <w:rsid w:val="00BC4DFF"/>
    <w:rsid w:val="00BC776A"/>
    <w:rsid w:val="00BD6DA5"/>
    <w:rsid w:val="00BE185A"/>
    <w:rsid w:val="00BE44AD"/>
    <w:rsid w:val="00BE7841"/>
    <w:rsid w:val="00C005A5"/>
    <w:rsid w:val="00C0324C"/>
    <w:rsid w:val="00C07503"/>
    <w:rsid w:val="00C15608"/>
    <w:rsid w:val="00C2021F"/>
    <w:rsid w:val="00C22119"/>
    <w:rsid w:val="00C221CE"/>
    <w:rsid w:val="00C23AF3"/>
    <w:rsid w:val="00C24598"/>
    <w:rsid w:val="00C26D68"/>
    <w:rsid w:val="00C348E8"/>
    <w:rsid w:val="00C349E7"/>
    <w:rsid w:val="00C40543"/>
    <w:rsid w:val="00C51803"/>
    <w:rsid w:val="00C61506"/>
    <w:rsid w:val="00C66846"/>
    <w:rsid w:val="00C6774A"/>
    <w:rsid w:val="00C7484E"/>
    <w:rsid w:val="00C803DD"/>
    <w:rsid w:val="00C840F9"/>
    <w:rsid w:val="00C8641A"/>
    <w:rsid w:val="00C901BE"/>
    <w:rsid w:val="00C93D53"/>
    <w:rsid w:val="00C96829"/>
    <w:rsid w:val="00C96C2B"/>
    <w:rsid w:val="00CB0129"/>
    <w:rsid w:val="00CB288B"/>
    <w:rsid w:val="00CC3C2F"/>
    <w:rsid w:val="00CE0717"/>
    <w:rsid w:val="00CE62C3"/>
    <w:rsid w:val="00D01018"/>
    <w:rsid w:val="00D24620"/>
    <w:rsid w:val="00D27697"/>
    <w:rsid w:val="00D27962"/>
    <w:rsid w:val="00D309A4"/>
    <w:rsid w:val="00D33509"/>
    <w:rsid w:val="00D3565B"/>
    <w:rsid w:val="00D51206"/>
    <w:rsid w:val="00D5531A"/>
    <w:rsid w:val="00D55AE6"/>
    <w:rsid w:val="00D60943"/>
    <w:rsid w:val="00D660A9"/>
    <w:rsid w:val="00D73F31"/>
    <w:rsid w:val="00D801E9"/>
    <w:rsid w:val="00D8326D"/>
    <w:rsid w:val="00D85D3E"/>
    <w:rsid w:val="00D86744"/>
    <w:rsid w:val="00D916F9"/>
    <w:rsid w:val="00DB51CC"/>
    <w:rsid w:val="00DB7FF4"/>
    <w:rsid w:val="00DC0189"/>
    <w:rsid w:val="00DC1801"/>
    <w:rsid w:val="00DE196E"/>
    <w:rsid w:val="00DE70FA"/>
    <w:rsid w:val="00DE77E8"/>
    <w:rsid w:val="00DF4A35"/>
    <w:rsid w:val="00DF565A"/>
    <w:rsid w:val="00E03A8E"/>
    <w:rsid w:val="00E07FF8"/>
    <w:rsid w:val="00E21C31"/>
    <w:rsid w:val="00E314E3"/>
    <w:rsid w:val="00E31C36"/>
    <w:rsid w:val="00E36CDF"/>
    <w:rsid w:val="00E5548E"/>
    <w:rsid w:val="00E558E7"/>
    <w:rsid w:val="00E574FC"/>
    <w:rsid w:val="00E62E0A"/>
    <w:rsid w:val="00E65EB2"/>
    <w:rsid w:val="00E727AA"/>
    <w:rsid w:val="00E80047"/>
    <w:rsid w:val="00E8095D"/>
    <w:rsid w:val="00E920CE"/>
    <w:rsid w:val="00E925FD"/>
    <w:rsid w:val="00E92730"/>
    <w:rsid w:val="00E927CA"/>
    <w:rsid w:val="00E95FE2"/>
    <w:rsid w:val="00E977EA"/>
    <w:rsid w:val="00E97B25"/>
    <w:rsid w:val="00EA1A4D"/>
    <w:rsid w:val="00EA23CC"/>
    <w:rsid w:val="00EA2622"/>
    <w:rsid w:val="00EA4349"/>
    <w:rsid w:val="00EA4BE3"/>
    <w:rsid w:val="00ED2162"/>
    <w:rsid w:val="00ED33AB"/>
    <w:rsid w:val="00ED49D0"/>
    <w:rsid w:val="00EF1800"/>
    <w:rsid w:val="00F041A9"/>
    <w:rsid w:val="00F05226"/>
    <w:rsid w:val="00F077F4"/>
    <w:rsid w:val="00F14A4E"/>
    <w:rsid w:val="00F3123E"/>
    <w:rsid w:val="00F3603C"/>
    <w:rsid w:val="00F4108C"/>
    <w:rsid w:val="00F440D4"/>
    <w:rsid w:val="00F44A9D"/>
    <w:rsid w:val="00F451B8"/>
    <w:rsid w:val="00F45AF2"/>
    <w:rsid w:val="00F46574"/>
    <w:rsid w:val="00F51B5B"/>
    <w:rsid w:val="00F522BA"/>
    <w:rsid w:val="00F54D4B"/>
    <w:rsid w:val="00F614DE"/>
    <w:rsid w:val="00F647A6"/>
    <w:rsid w:val="00F67C3E"/>
    <w:rsid w:val="00F713E5"/>
    <w:rsid w:val="00F74869"/>
    <w:rsid w:val="00F80F30"/>
    <w:rsid w:val="00F863E1"/>
    <w:rsid w:val="00F900F6"/>
    <w:rsid w:val="00F902F0"/>
    <w:rsid w:val="00F908EE"/>
    <w:rsid w:val="00FA19A4"/>
    <w:rsid w:val="00FA757B"/>
    <w:rsid w:val="00FC6720"/>
    <w:rsid w:val="00FC7155"/>
    <w:rsid w:val="00FD396A"/>
    <w:rsid w:val="00FF04C9"/>
    <w:rsid w:val="00FF5984"/>
    <w:rsid w:val="018743E7"/>
    <w:rsid w:val="018C0CDC"/>
    <w:rsid w:val="01925A4C"/>
    <w:rsid w:val="01AF5E1E"/>
    <w:rsid w:val="01BE050C"/>
    <w:rsid w:val="0242088A"/>
    <w:rsid w:val="02531DFD"/>
    <w:rsid w:val="0269396C"/>
    <w:rsid w:val="027501D9"/>
    <w:rsid w:val="029F18C8"/>
    <w:rsid w:val="02AA30B8"/>
    <w:rsid w:val="02B55F76"/>
    <w:rsid w:val="02BE5089"/>
    <w:rsid w:val="032B060A"/>
    <w:rsid w:val="036D0FA8"/>
    <w:rsid w:val="03984180"/>
    <w:rsid w:val="03C17251"/>
    <w:rsid w:val="03EB3AC6"/>
    <w:rsid w:val="03EC2A3E"/>
    <w:rsid w:val="03F943C0"/>
    <w:rsid w:val="041937E0"/>
    <w:rsid w:val="043A17D7"/>
    <w:rsid w:val="04594FE6"/>
    <w:rsid w:val="04AF607B"/>
    <w:rsid w:val="04F74169"/>
    <w:rsid w:val="04FF508A"/>
    <w:rsid w:val="05216695"/>
    <w:rsid w:val="05365C34"/>
    <w:rsid w:val="055E2EBE"/>
    <w:rsid w:val="05C92DCD"/>
    <w:rsid w:val="05CA334A"/>
    <w:rsid w:val="05F045CA"/>
    <w:rsid w:val="061A7EB5"/>
    <w:rsid w:val="06292A7C"/>
    <w:rsid w:val="063073EB"/>
    <w:rsid w:val="06476D2E"/>
    <w:rsid w:val="066834C7"/>
    <w:rsid w:val="066F3784"/>
    <w:rsid w:val="06BA6EDC"/>
    <w:rsid w:val="06C93C8D"/>
    <w:rsid w:val="070B6B03"/>
    <w:rsid w:val="072951C7"/>
    <w:rsid w:val="075E66EA"/>
    <w:rsid w:val="07612215"/>
    <w:rsid w:val="076508DC"/>
    <w:rsid w:val="07894DE6"/>
    <w:rsid w:val="07C6724E"/>
    <w:rsid w:val="07CC5E12"/>
    <w:rsid w:val="07EF22B0"/>
    <w:rsid w:val="07F12A0F"/>
    <w:rsid w:val="082746ED"/>
    <w:rsid w:val="084D22C8"/>
    <w:rsid w:val="084E5A8B"/>
    <w:rsid w:val="08512020"/>
    <w:rsid w:val="08513E9A"/>
    <w:rsid w:val="08645F04"/>
    <w:rsid w:val="08677180"/>
    <w:rsid w:val="08861344"/>
    <w:rsid w:val="08861C23"/>
    <w:rsid w:val="08915A3A"/>
    <w:rsid w:val="08A46340"/>
    <w:rsid w:val="08A80B93"/>
    <w:rsid w:val="08AB2BF5"/>
    <w:rsid w:val="08B34B9E"/>
    <w:rsid w:val="08E77BF9"/>
    <w:rsid w:val="08F55203"/>
    <w:rsid w:val="090F1B16"/>
    <w:rsid w:val="092B3296"/>
    <w:rsid w:val="09351090"/>
    <w:rsid w:val="09455D4B"/>
    <w:rsid w:val="096762FB"/>
    <w:rsid w:val="096F15E5"/>
    <w:rsid w:val="09893A7D"/>
    <w:rsid w:val="098A7612"/>
    <w:rsid w:val="099654B5"/>
    <w:rsid w:val="09A54D80"/>
    <w:rsid w:val="09A77FB2"/>
    <w:rsid w:val="09AF3E4D"/>
    <w:rsid w:val="09B35F7E"/>
    <w:rsid w:val="09D3537F"/>
    <w:rsid w:val="09D9088F"/>
    <w:rsid w:val="09F3390F"/>
    <w:rsid w:val="09F80E5B"/>
    <w:rsid w:val="0A1A40EB"/>
    <w:rsid w:val="0A233B37"/>
    <w:rsid w:val="0A394BE4"/>
    <w:rsid w:val="0A3C422D"/>
    <w:rsid w:val="0A3F6436"/>
    <w:rsid w:val="0A500C92"/>
    <w:rsid w:val="0A511754"/>
    <w:rsid w:val="0A642802"/>
    <w:rsid w:val="0AAA0B0E"/>
    <w:rsid w:val="0AD03843"/>
    <w:rsid w:val="0AFC1A9A"/>
    <w:rsid w:val="0B58557D"/>
    <w:rsid w:val="0B693E09"/>
    <w:rsid w:val="0B763F3E"/>
    <w:rsid w:val="0B8A2589"/>
    <w:rsid w:val="0BB70DB1"/>
    <w:rsid w:val="0BE3480E"/>
    <w:rsid w:val="0BFB3BE1"/>
    <w:rsid w:val="0C1C3165"/>
    <w:rsid w:val="0C38318B"/>
    <w:rsid w:val="0C88767E"/>
    <w:rsid w:val="0CA779A2"/>
    <w:rsid w:val="0CAE21F2"/>
    <w:rsid w:val="0CEA5253"/>
    <w:rsid w:val="0D617519"/>
    <w:rsid w:val="0D672D8D"/>
    <w:rsid w:val="0D713094"/>
    <w:rsid w:val="0DAA56B3"/>
    <w:rsid w:val="0DCF6733"/>
    <w:rsid w:val="0DF269FA"/>
    <w:rsid w:val="0DF768E8"/>
    <w:rsid w:val="0E024801"/>
    <w:rsid w:val="0E494BB0"/>
    <w:rsid w:val="0E517FAA"/>
    <w:rsid w:val="0E9D7F04"/>
    <w:rsid w:val="0EB508E2"/>
    <w:rsid w:val="0EFD4537"/>
    <w:rsid w:val="0F1B60DE"/>
    <w:rsid w:val="0F35151A"/>
    <w:rsid w:val="0F47677D"/>
    <w:rsid w:val="0F480855"/>
    <w:rsid w:val="0F762146"/>
    <w:rsid w:val="0F960136"/>
    <w:rsid w:val="0FA85FB6"/>
    <w:rsid w:val="0FB14354"/>
    <w:rsid w:val="0FF70EE3"/>
    <w:rsid w:val="0FFE48F4"/>
    <w:rsid w:val="101106C3"/>
    <w:rsid w:val="10175ED8"/>
    <w:rsid w:val="10184D0C"/>
    <w:rsid w:val="10184F5B"/>
    <w:rsid w:val="102B2DCC"/>
    <w:rsid w:val="10432E4E"/>
    <w:rsid w:val="1075557A"/>
    <w:rsid w:val="108245F6"/>
    <w:rsid w:val="10B72BF5"/>
    <w:rsid w:val="110121C3"/>
    <w:rsid w:val="11361A6A"/>
    <w:rsid w:val="11942D96"/>
    <w:rsid w:val="120D76CD"/>
    <w:rsid w:val="12252C78"/>
    <w:rsid w:val="12293893"/>
    <w:rsid w:val="124C5AA0"/>
    <w:rsid w:val="12600AC1"/>
    <w:rsid w:val="126A7A58"/>
    <w:rsid w:val="12705CB8"/>
    <w:rsid w:val="12D850A4"/>
    <w:rsid w:val="12F06583"/>
    <w:rsid w:val="12F7558B"/>
    <w:rsid w:val="13023CFF"/>
    <w:rsid w:val="13080B94"/>
    <w:rsid w:val="132D0684"/>
    <w:rsid w:val="133D45D9"/>
    <w:rsid w:val="135667F1"/>
    <w:rsid w:val="1359548B"/>
    <w:rsid w:val="135B040E"/>
    <w:rsid w:val="137039C6"/>
    <w:rsid w:val="137D40BA"/>
    <w:rsid w:val="13A17E53"/>
    <w:rsid w:val="13AF1E8A"/>
    <w:rsid w:val="13B13D62"/>
    <w:rsid w:val="13B33CC7"/>
    <w:rsid w:val="13B35FFC"/>
    <w:rsid w:val="13BC4809"/>
    <w:rsid w:val="13FA093A"/>
    <w:rsid w:val="14231424"/>
    <w:rsid w:val="148327B1"/>
    <w:rsid w:val="14896A43"/>
    <w:rsid w:val="14AF0C8B"/>
    <w:rsid w:val="14B7089E"/>
    <w:rsid w:val="14CE02D9"/>
    <w:rsid w:val="14D96CB3"/>
    <w:rsid w:val="14F447B8"/>
    <w:rsid w:val="14FE4AEF"/>
    <w:rsid w:val="151E760E"/>
    <w:rsid w:val="157E6991"/>
    <w:rsid w:val="15CF6403"/>
    <w:rsid w:val="15D65687"/>
    <w:rsid w:val="15D755FB"/>
    <w:rsid w:val="15EB1DC3"/>
    <w:rsid w:val="15EF485B"/>
    <w:rsid w:val="161716AA"/>
    <w:rsid w:val="161E1CB4"/>
    <w:rsid w:val="161F2F9E"/>
    <w:rsid w:val="161F43F4"/>
    <w:rsid w:val="16336E45"/>
    <w:rsid w:val="167B00FE"/>
    <w:rsid w:val="16871DA1"/>
    <w:rsid w:val="16B112E8"/>
    <w:rsid w:val="16BC3A10"/>
    <w:rsid w:val="16C0002B"/>
    <w:rsid w:val="16C170D3"/>
    <w:rsid w:val="16E0530A"/>
    <w:rsid w:val="16F67370"/>
    <w:rsid w:val="17250174"/>
    <w:rsid w:val="174C0FC5"/>
    <w:rsid w:val="174F796A"/>
    <w:rsid w:val="179C5F81"/>
    <w:rsid w:val="179D4373"/>
    <w:rsid w:val="179E57B3"/>
    <w:rsid w:val="17E5630A"/>
    <w:rsid w:val="18294B20"/>
    <w:rsid w:val="182D40A4"/>
    <w:rsid w:val="182F2BF8"/>
    <w:rsid w:val="18636582"/>
    <w:rsid w:val="186D1741"/>
    <w:rsid w:val="18A15FA6"/>
    <w:rsid w:val="18AA53D5"/>
    <w:rsid w:val="18CD41D7"/>
    <w:rsid w:val="18EB3BBF"/>
    <w:rsid w:val="18EC734C"/>
    <w:rsid w:val="19173DC0"/>
    <w:rsid w:val="19274094"/>
    <w:rsid w:val="19515DA3"/>
    <w:rsid w:val="19736900"/>
    <w:rsid w:val="19A45DCF"/>
    <w:rsid w:val="19AA7703"/>
    <w:rsid w:val="19AB0BF4"/>
    <w:rsid w:val="19BD5693"/>
    <w:rsid w:val="19C63032"/>
    <w:rsid w:val="19C85B19"/>
    <w:rsid w:val="19D03C23"/>
    <w:rsid w:val="19F24288"/>
    <w:rsid w:val="1A066A1D"/>
    <w:rsid w:val="1A311B70"/>
    <w:rsid w:val="1A6372B2"/>
    <w:rsid w:val="1A7B108B"/>
    <w:rsid w:val="1A874FFE"/>
    <w:rsid w:val="1A9D2B1F"/>
    <w:rsid w:val="1AC12B5E"/>
    <w:rsid w:val="1B145F82"/>
    <w:rsid w:val="1B254DA9"/>
    <w:rsid w:val="1B4F14EA"/>
    <w:rsid w:val="1B8054ED"/>
    <w:rsid w:val="1B8A775F"/>
    <w:rsid w:val="1BA11BF0"/>
    <w:rsid w:val="1BC22C3B"/>
    <w:rsid w:val="1BEE6EC2"/>
    <w:rsid w:val="1C205571"/>
    <w:rsid w:val="1C404ACF"/>
    <w:rsid w:val="1C5772D9"/>
    <w:rsid w:val="1C692EC4"/>
    <w:rsid w:val="1C971994"/>
    <w:rsid w:val="1CA6374F"/>
    <w:rsid w:val="1D0B25CA"/>
    <w:rsid w:val="1D1B74A3"/>
    <w:rsid w:val="1D3A20E9"/>
    <w:rsid w:val="1D802EC1"/>
    <w:rsid w:val="1DB02E7B"/>
    <w:rsid w:val="1DCA4916"/>
    <w:rsid w:val="1DDB0CDB"/>
    <w:rsid w:val="1DE05029"/>
    <w:rsid w:val="1DF7740D"/>
    <w:rsid w:val="1E261F02"/>
    <w:rsid w:val="1E3B61AE"/>
    <w:rsid w:val="1E464AE5"/>
    <w:rsid w:val="1E4819AC"/>
    <w:rsid w:val="1E62654B"/>
    <w:rsid w:val="1E757B62"/>
    <w:rsid w:val="1E7C42BC"/>
    <w:rsid w:val="1EB249BF"/>
    <w:rsid w:val="1EB26E38"/>
    <w:rsid w:val="1ECA3413"/>
    <w:rsid w:val="1ED67D8B"/>
    <w:rsid w:val="1EF51F86"/>
    <w:rsid w:val="1EF84CB8"/>
    <w:rsid w:val="1F42245C"/>
    <w:rsid w:val="1F8919E9"/>
    <w:rsid w:val="1FBE1426"/>
    <w:rsid w:val="1FBE701E"/>
    <w:rsid w:val="1FFF289C"/>
    <w:rsid w:val="20016478"/>
    <w:rsid w:val="20025408"/>
    <w:rsid w:val="20154B84"/>
    <w:rsid w:val="20530A80"/>
    <w:rsid w:val="20686BF9"/>
    <w:rsid w:val="208165D9"/>
    <w:rsid w:val="208660B8"/>
    <w:rsid w:val="20BB75BC"/>
    <w:rsid w:val="20D93BB8"/>
    <w:rsid w:val="20F001F2"/>
    <w:rsid w:val="210B7957"/>
    <w:rsid w:val="212A7594"/>
    <w:rsid w:val="214A3EE2"/>
    <w:rsid w:val="21C025FA"/>
    <w:rsid w:val="21D415AA"/>
    <w:rsid w:val="21DF1E85"/>
    <w:rsid w:val="21E03A52"/>
    <w:rsid w:val="21EB365E"/>
    <w:rsid w:val="22103EF4"/>
    <w:rsid w:val="2225121F"/>
    <w:rsid w:val="222F2724"/>
    <w:rsid w:val="2259210F"/>
    <w:rsid w:val="22671A03"/>
    <w:rsid w:val="2279654D"/>
    <w:rsid w:val="22872E88"/>
    <w:rsid w:val="22B534E6"/>
    <w:rsid w:val="22EC04C2"/>
    <w:rsid w:val="22F73C78"/>
    <w:rsid w:val="230A4F7F"/>
    <w:rsid w:val="2315054F"/>
    <w:rsid w:val="232123FD"/>
    <w:rsid w:val="239C0673"/>
    <w:rsid w:val="23BB6F99"/>
    <w:rsid w:val="23D13CC3"/>
    <w:rsid w:val="24397CFB"/>
    <w:rsid w:val="244930A0"/>
    <w:rsid w:val="24836C41"/>
    <w:rsid w:val="24BC7C3B"/>
    <w:rsid w:val="24C2128E"/>
    <w:rsid w:val="24C84535"/>
    <w:rsid w:val="24CE50B0"/>
    <w:rsid w:val="24F7547C"/>
    <w:rsid w:val="25141EBE"/>
    <w:rsid w:val="251B7EF7"/>
    <w:rsid w:val="253A3469"/>
    <w:rsid w:val="25557FA4"/>
    <w:rsid w:val="258B31E3"/>
    <w:rsid w:val="25953319"/>
    <w:rsid w:val="25A937A6"/>
    <w:rsid w:val="25DC40EB"/>
    <w:rsid w:val="265B1AAC"/>
    <w:rsid w:val="269561FC"/>
    <w:rsid w:val="269C3962"/>
    <w:rsid w:val="26A97F12"/>
    <w:rsid w:val="26CE1B35"/>
    <w:rsid w:val="26D30305"/>
    <w:rsid w:val="26FE6A3F"/>
    <w:rsid w:val="272B260A"/>
    <w:rsid w:val="2752668A"/>
    <w:rsid w:val="27EE0DF1"/>
    <w:rsid w:val="27EF17A9"/>
    <w:rsid w:val="287978DF"/>
    <w:rsid w:val="28B12222"/>
    <w:rsid w:val="28DF236E"/>
    <w:rsid w:val="28E32E16"/>
    <w:rsid w:val="29404076"/>
    <w:rsid w:val="294F47C5"/>
    <w:rsid w:val="29566BA7"/>
    <w:rsid w:val="2964473B"/>
    <w:rsid w:val="29704EAA"/>
    <w:rsid w:val="29A26D85"/>
    <w:rsid w:val="29A365CD"/>
    <w:rsid w:val="29E16030"/>
    <w:rsid w:val="29F25C4A"/>
    <w:rsid w:val="2A1B2E14"/>
    <w:rsid w:val="2A4C4CCC"/>
    <w:rsid w:val="2A5F3FDB"/>
    <w:rsid w:val="2A631681"/>
    <w:rsid w:val="2AA86092"/>
    <w:rsid w:val="2AC75ADE"/>
    <w:rsid w:val="2B190154"/>
    <w:rsid w:val="2B4F6F90"/>
    <w:rsid w:val="2B996CC4"/>
    <w:rsid w:val="2BA63DFA"/>
    <w:rsid w:val="2BBA7C0A"/>
    <w:rsid w:val="2BE56858"/>
    <w:rsid w:val="2BFC3AED"/>
    <w:rsid w:val="2C096F5B"/>
    <w:rsid w:val="2C0F2D27"/>
    <w:rsid w:val="2C271613"/>
    <w:rsid w:val="2C863589"/>
    <w:rsid w:val="2CA92D0F"/>
    <w:rsid w:val="2CAA0FDE"/>
    <w:rsid w:val="2CB22503"/>
    <w:rsid w:val="2CBD141A"/>
    <w:rsid w:val="2CC07A45"/>
    <w:rsid w:val="2CF416F3"/>
    <w:rsid w:val="2D0E16CA"/>
    <w:rsid w:val="2D137515"/>
    <w:rsid w:val="2D2944EC"/>
    <w:rsid w:val="2D370377"/>
    <w:rsid w:val="2D534656"/>
    <w:rsid w:val="2D66631B"/>
    <w:rsid w:val="2D9010C7"/>
    <w:rsid w:val="2DC17EFA"/>
    <w:rsid w:val="2DC869E6"/>
    <w:rsid w:val="2E187E66"/>
    <w:rsid w:val="2E4C1125"/>
    <w:rsid w:val="2E4D04A4"/>
    <w:rsid w:val="2E567367"/>
    <w:rsid w:val="2E6604FE"/>
    <w:rsid w:val="2E753954"/>
    <w:rsid w:val="2EB75924"/>
    <w:rsid w:val="2EC36C8C"/>
    <w:rsid w:val="2EDB51CC"/>
    <w:rsid w:val="2F4219F0"/>
    <w:rsid w:val="2F616968"/>
    <w:rsid w:val="2F7A731B"/>
    <w:rsid w:val="2F914D79"/>
    <w:rsid w:val="2F9616D8"/>
    <w:rsid w:val="2F9A619E"/>
    <w:rsid w:val="2FDB6152"/>
    <w:rsid w:val="30023296"/>
    <w:rsid w:val="302C34BD"/>
    <w:rsid w:val="30390EB0"/>
    <w:rsid w:val="304F5177"/>
    <w:rsid w:val="305661DA"/>
    <w:rsid w:val="305A7B81"/>
    <w:rsid w:val="309049FA"/>
    <w:rsid w:val="30EF4574"/>
    <w:rsid w:val="310B4B13"/>
    <w:rsid w:val="31293417"/>
    <w:rsid w:val="31384BE5"/>
    <w:rsid w:val="314F6316"/>
    <w:rsid w:val="31756E7E"/>
    <w:rsid w:val="317861E9"/>
    <w:rsid w:val="31852205"/>
    <w:rsid w:val="318C7976"/>
    <w:rsid w:val="31A574A3"/>
    <w:rsid w:val="31B4351A"/>
    <w:rsid w:val="31E61089"/>
    <w:rsid w:val="31E71F53"/>
    <w:rsid w:val="32301A4A"/>
    <w:rsid w:val="32313C63"/>
    <w:rsid w:val="32BD4397"/>
    <w:rsid w:val="32CD0EC2"/>
    <w:rsid w:val="32D77487"/>
    <w:rsid w:val="330F31BE"/>
    <w:rsid w:val="332743E3"/>
    <w:rsid w:val="333D7036"/>
    <w:rsid w:val="34032841"/>
    <w:rsid w:val="340C7BF2"/>
    <w:rsid w:val="34505AD1"/>
    <w:rsid w:val="345B0667"/>
    <w:rsid w:val="3492678B"/>
    <w:rsid w:val="34CE0721"/>
    <w:rsid w:val="35744550"/>
    <w:rsid w:val="35AD2181"/>
    <w:rsid w:val="35F7590E"/>
    <w:rsid w:val="35FA60A5"/>
    <w:rsid w:val="36701D08"/>
    <w:rsid w:val="368D2B06"/>
    <w:rsid w:val="36A241ED"/>
    <w:rsid w:val="36AB6A79"/>
    <w:rsid w:val="36C11895"/>
    <w:rsid w:val="37334130"/>
    <w:rsid w:val="374F0E58"/>
    <w:rsid w:val="375F29E2"/>
    <w:rsid w:val="37704CB1"/>
    <w:rsid w:val="377505C8"/>
    <w:rsid w:val="378664F0"/>
    <w:rsid w:val="3787735C"/>
    <w:rsid w:val="378D194B"/>
    <w:rsid w:val="37B57460"/>
    <w:rsid w:val="37DD4480"/>
    <w:rsid w:val="38190CCF"/>
    <w:rsid w:val="38533F81"/>
    <w:rsid w:val="38C3692D"/>
    <w:rsid w:val="38C50000"/>
    <w:rsid w:val="39021613"/>
    <w:rsid w:val="39141C0A"/>
    <w:rsid w:val="3942038F"/>
    <w:rsid w:val="39A8253C"/>
    <w:rsid w:val="39D20B9F"/>
    <w:rsid w:val="3A0868C8"/>
    <w:rsid w:val="3A0E57C2"/>
    <w:rsid w:val="3A1B5E08"/>
    <w:rsid w:val="3A3E0E8E"/>
    <w:rsid w:val="3A582310"/>
    <w:rsid w:val="3A622CFD"/>
    <w:rsid w:val="3A8A0B21"/>
    <w:rsid w:val="3AC6358E"/>
    <w:rsid w:val="3B091021"/>
    <w:rsid w:val="3B153B06"/>
    <w:rsid w:val="3B3E5334"/>
    <w:rsid w:val="3B4A058E"/>
    <w:rsid w:val="3B632E29"/>
    <w:rsid w:val="3B7E5FA5"/>
    <w:rsid w:val="3B9233C3"/>
    <w:rsid w:val="3B93182A"/>
    <w:rsid w:val="3BAB012C"/>
    <w:rsid w:val="3BFA76D7"/>
    <w:rsid w:val="3C0C2C2F"/>
    <w:rsid w:val="3C5E1812"/>
    <w:rsid w:val="3CC65793"/>
    <w:rsid w:val="3CDB0C90"/>
    <w:rsid w:val="3D31379B"/>
    <w:rsid w:val="3D3E6B90"/>
    <w:rsid w:val="3DBC7033"/>
    <w:rsid w:val="3DC358D5"/>
    <w:rsid w:val="3DE06DE4"/>
    <w:rsid w:val="3DE62DA6"/>
    <w:rsid w:val="3DE62FC0"/>
    <w:rsid w:val="3E171FCE"/>
    <w:rsid w:val="3E2E43AA"/>
    <w:rsid w:val="3E335AE8"/>
    <w:rsid w:val="3E5E45A0"/>
    <w:rsid w:val="3E612A01"/>
    <w:rsid w:val="3E9524E5"/>
    <w:rsid w:val="3F4232AF"/>
    <w:rsid w:val="3F440A80"/>
    <w:rsid w:val="3F69318A"/>
    <w:rsid w:val="3F740A50"/>
    <w:rsid w:val="3F7E597E"/>
    <w:rsid w:val="3F8E66EE"/>
    <w:rsid w:val="3FB251AE"/>
    <w:rsid w:val="3FD73C6D"/>
    <w:rsid w:val="40081088"/>
    <w:rsid w:val="401E40CB"/>
    <w:rsid w:val="40252941"/>
    <w:rsid w:val="404978A7"/>
    <w:rsid w:val="406301A3"/>
    <w:rsid w:val="409F3A7D"/>
    <w:rsid w:val="40AF16B0"/>
    <w:rsid w:val="40FA7B35"/>
    <w:rsid w:val="40FD3DB3"/>
    <w:rsid w:val="4103081C"/>
    <w:rsid w:val="412100DE"/>
    <w:rsid w:val="41244963"/>
    <w:rsid w:val="415764FD"/>
    <w:rsid w:val="417E62D3"/>
    <w:rsid w:val="419228EC"/>
    <w:rsid w:val="41A27AC4"/>
    <w:rsid w:val="41AE779F"/>
    <w:rsid w:val="41C10283"/>
    <w:rsid w:val="41E96C68"/>
    <w:rsid w:val="41FB221A"/>
    <w:rsid w:val="420C59E9"/>
    <w:rsid w:val="42492B89"/>
    <w:rsid w:val="425176ED"/>
    <w:rsid w:val="42687EC4"/>
    <w:rsid w:val="42B6009A"/>
    <w:rsid w:val="42ED2A7E"/>
    <w:rsid w:val="42FE67D6"/>
    <w:rsid w:val="43452F92"/>
    <w:rsid w:val="43457258"/>
    <w:rsid w:val="434F23AA"/>
    <w:rsid w:val="435A1E17"/>
    <w:rsid w:val="436721BC"/>
    <w:rsid w:val="436F0F98"/>
    <w:rsid w:val="43BE3437"/>
    <w:rsid w:val="43CF51E8"/>
    <w:rsid w:val="43D172B7"/>
    <w:rsid w:val="43DE5F74"/>
    <w:rsid w:val="43F95A6C"/>
    <w:rsid w:val="44052A14"/>
    <w:rsid w:val="440654DF"/>
    <w:rsid w:val="44A25681"/>
    <w:rsid w:val="44C1038E"/>
    <w:rsid w:val="44CA70D0"/>
    <w:rsid w:val="45055800"/>
    <w:rsid w:val="450924E4"/>
    <w:rsid w:val="45100F63"/>
    <w:rsid w:val="451C3988"/>
    <w:rsid w:val="452A4044"/>
    <w:rsid w:val="45465115"/>
    <w:rsid w:val="45480224"/>
    <w:rsid w:val="45537BB6"/>
    <w:rsid w:val="45961298"/>
    <w:rsid w:val="459F3509"/>
    <w:rsid w:val="45DE283B"/>
    <w:rsid w:val="45E02231"/>
    <w:rsid w:val="46137BE2"/>
    <w:rsid w:val="462C0290"/>
    <w:rsid w:val="46626E23"/>
    <w:rsid w:val="4671298A"/>
    <w:rsid w:val="46934F24"/>
    <w:rsid w:val="46975241"/>
    <w:rsid w:val="47042FFF"/>
    <w:rsid w:val="472817F4"/>
    <w:rsid w:val="472B6512"/>
    <w:rsid w:val="47460FD5"/>
    <w:rsid w:val="474D74F6"/>
    <w:rsid w:val="47836BE3"/>
    <w:rsid w:val="478671FA"/>
    <w:rsid w:val="47BC4CB3"/>
    <w:rsid w:val="47D6360C"/>
    <w:rsid w:val="47DA6303"/>
    <w:rsid w:val="47F1173E"/>
    <w:rsid w:val="481979A1"/>
    <w:rsid w:val="481E0749"/>
    <w:rsid w:val="482A25D5"/>
    <w:rsid w:val="482E30E8"/>
    <w:rsid w:val="486645E4"/>
    <w:rsid w:val="48B1497B"/>
    <w:rsid w:val="48B642A7"/>
    <w:rsid w:val="48D65D12"/>
    <w:rsid w:val="490000C6"/>
    <w:rsid w:val="49001084"/>
    <w:rsid w:val="49686D90"/>
    <w:rsid w:val="49695A36"/>
    <w:rsid w:val="497E6D37"/>
    <w:rsid w:val="498158F5"/>
    <w:rsid w:val="499C5B4A"/>
    <w:rsid w:val="49AE08A9"/>
    <w:rsid w:val="49CD4FA6"/>
    <w:rsid w:val="49E77670"/>
    <w:rsid w:val="49ED218C"/>
    <w:rsid w:val="4A125DA8"/>
    <w:rsid w:val="4A6C5FA7"/>
    <w:rsid w:val="4A71418B"/>
    <w:rsid w:val="4A720514"/>
    <w:rsid w:val="4A8B0A55"/>
    <w:rsid w:val="4AA11A7E"/>
    <w:rsid w:val="4B594CD6"/>
    <w:rsid w:val="4B5C5813"/>
    <w:rsid w:val="4B731429"/>
    <w:rsid w:val="4B7F43B0"/>
    <w:rsid w:val="4B891197"/>
    <w:rsid w:val="4C283C36"/>
    <w:rsid w:val="4C2C79BE"/>
    <w:rsid w:val="4C552C78"/>
    <w:rsid w:val="4C6359A2"/>
    <w:rsid w:val="4C7F6921"/>
    <w:rsid w:val="4CC6231A"/>
    <w:rsid w:val="4CDD49B2"/>
    <w:rsid w:val="4D021553"/>
    <w:rsid w:val="4D1F49D1"/>
    <w:rsid w:val="4DAB7F4A"/>
    <w:rsid w:val="4DD2339F"/>
    <w:rsid w:val="4E035FCC"/>
    <w:rsid w:val="4E036450"/>
    <w:rsid w:val="4E03745F"/>
    <w:rsid w:val="4E115ED6"/>
    <w:rsid w:val="4E161121"/>
    <w:rsid w:val="4E5E7DD5"/>
    <w:rsid w:val="4EB00B92"/>
    <w:rsid w:val="4ECD5972"/>
    <w:rsid w:val="4EDD167B"/>
    <w:rsid w:val="4F064191"/>
    <w:rsid w:val="4F0B4750"/>
    <w:rsid w:val="4F0D7955"/>
    <w:rsid w:val="4F246902"/>
    <w:rsid w:val="4F281C83"/>
    <w:rsid w:val="4F757849"/>
    <w:rsid w:val="4FE54A1F"/>
    <w:rsid w:val="4FFD3DBF"/>
    <w:rsid w:val="50221A2B"/>
    <w:rsid w:val="50340888"/>
    <w:rsid w:val="503F5E87"/>
    <w:rsid w:val="50913DD8"/>
    <w:rsid w:val="50D030A1"/>
    <w:rsid w:val="50EE156E"/>
    <w:rsid w:val="512B7AF3"/>
    <w:rsid w:val="516C1917"/>
    <w:rsid w:val="518B5837"/>
    <w:rsid w:val="51900A6D"/>
    <w:rsid w:val="51B22AA2"/>
    <w:rsid w:val="51E64532"/>
    <w:rsid w:val="525158FC"/>
    <w:rsid w:val="52591754"/>
    <w:rsid w:val="529308D2"/>
    <w:rsid w:val="52CD2C9F"/>
    <w:rsid w:val="52D75BEC"/>
    <w:rsid w:val="530B471E"/>
    <w:rsid w:val="531E704C"/>
    <w:rsid w:val="531F117E"/>
    <w:rsid w:val="532E09DA"/>
    <w:rsid w:val="534A037F"/>
    <w:rsid w:val="535330EE"/>
    <w:rsid w:val="53662284"/>
    <w:rsid w:val="5375684A"/>
    <w:rsid w:val="53981A00"/>
    <w:rsid w:val="53A00BBC"/>
    <w:rsid w:val="53A17D3E"/>
    <w:rsid w:val="53AC6FFB"/>
    <w:rsid w:val="53C7263F"/>
    <w:rsid w:val="53CC33AE"/>
    <w:rsid w:val="53F11A51"/>
    <w:rsid w:val="541B49E6"/>
    <w:rsid w:val="542C744D"/>
    <w:rsid w:val="542E6864"/>
    <w:rsid w:val="54386268"/>
    <w:rsid w:val="543D74EB"/>
    <w:rsid w:val="546E726E"/>
    <w:rsid w:val="54BA17F7"/>
    <w:rsid w:val="54F22754"/>
    <w:rsid w:val="5527124F"/>
    <w:rsid w:val="552E1A00"/>
    <w:rsid w:val="55315C4C"/>
    <w:rsid w:val="55390850"/>
    <w:rsid w:val="5557212D"/>
    <w:rsid w:val="5571504F"/>
    <w:rsid w:val="55770351"/>
    <w:rsid w:val="55AF24EC"/>
    <w:rsid w:val="55CA1411"/>
    <w:rsid w:val="55E6219E"/>
    <w:rsid w:val="562C6934"/>
    <w:rsid w:val="564427C1"/>
    <w:rsid w:val="56590B18"/>
    <w:rsid w:val="565B021C"/>
    <w:rsid w:val="569A5341"/>
    <w:rsid w:val="56BE3158"/>
    <w:rsid w:val="5713575D"/>
    <w:rsid w:val="576206EE"/>
    <w:rsid w:val="577A0FEB"/>
    <w:rsid w:val="57F6021A"/>
    <w:rsid w:val="581216B6"/>
    <w:rsid w:val="588B1453"/>
    <w:rsid w:val="58A34157"/>
    <w:rsid w:val="58E52FA4"/>
    <w:rsid w:val="58ED3568"/>
    <w:rsid w:val="58F64D76"/>
    <w:rsid w:val="58F74049"/>
    <w:rsid w:val="59226791"/>
    <w:rsid w:val="59282C3E"/>
    <w:rsid w:val="59292928"/>
    <w:rsid w:val="592B5A56"/>
    <w:rsid w:val="593339DC"/>
    <w:rsid w:val="59484A51"/>
    <w:rsid w:val="59582543"/>
    <w:rsid w:val="5988485C"/>
    <w:rsid w:val="59DA6708"/>
    <w:rsid w:val="59F22024"/>
    <w:rsid w:val="59F33187"/>
    <w:rsid w:val="5A002366"/>
    <w:rsid w:val="5A0D0C70"/>
    <w:rsid w:val="5A2B14AD"/>
    <w:rsid w:val="5A403783"/>
    <w:rsid w:val="5A446DAD"/>
    <w:rsid w:val="5A705207"/>
    <w:rsid w:val="5A9C6BFE"/>
    <w:rsid w:val="5AB8767B"/>
    <w:rsid w:val="5B003847"/>
    <w:rsid w:val="5B0F511C"/>
    <w:rsid w:val="5B286008"/>
    <w:rsid w:val="5B3B5ED7"/>
    <w:rsid w:val="5B831EDD"/>
    <w:rsid w:val="5B831FCB"/>
    <w:rsid w:val="5B931109"/>
    <w:rsid w:val="5B9752E8"/>
    <w:rsid w:val="5BD1216E"/>
    <w:rsid w:val="5BF15675"/>
    <w:rsid w:val="5BF93336"/>
    <w:rsid w:val="5C2D15E2"/>
    <w:rsid w:val="5C332D10"/>
    <w:rsid w:val="5CA700C9"/>
    <w:rsid w:val="5CAD5B95"/>
    <w:rsid w:val="5CEB2333"/>
    <w:rsid w:val="5D0E1A67"/>
    <w:rsid w:val="5D736408"/>
    <w:rsid w:val="5D996D15"/>
    <w:rsid w:val="5DA257C8"/>
    <w:rsid w:val="5DA26AEF"/>
    <w:rsid w:val="5DC35F1C"/>
    <w:rsid w:val="5DD13D03"/>
    <w:rsid w:val="5DFE0B43"/>
    <w:rsid w:val="5E0401CE"/>
    <w:rsid w:val="5E126432"/>
    <w:rsid w:val="5E192AC5"/>
    <w:rsid w:val="5E3A0B14"/>
    <w:rsid w:val="5E7A4CC9"/>
    <w:rsid w:val="5E8E02D6"/>
    <w:rsid w:val="5EDD70B6"/>
    <w:rsid w:val="5F0E1C90"/>
    <w:rsid w:val="5F1B61C5"/>
    <w:rsid w:val="5F1C2FD5"/>
    <w:rsid w:val="5F6F7BA6"/>
    <w:rsid w:val="5F820937"/>
    <w:rsid w:val="5F912B17"/>
    <w:rsid w:val="5FBC7775"/>
    <w:rsid w:val="5FC65163"/>
    <w:rsid w:val="5FE2313A"/>
    <w:rsid w:val="60002D86"/>
    <w:rsid w:val="602005B5"/>
    <w:rsid w:val="606E6E2B"/>
    <w:rsid w:val="60843210"/>
    <w:rsid w:val="60B10385"/>
    <w:rsid w:val="60D23DC7"/>
    <w:rsid w:val="60ED1ED0"/>
    <w:rsid w:val="6117446B"/>
    <w:rsid w:val="61381EF1"/>
    <w:rsid w:val="614204CC"/>
    <w:rsid w:val="614F331E"/>
    <w:rsid w:val="61516D86"/>
    <w:rsid w:val="6185021C"/>
    <w:rsid w:val="62135152"/>
    <w:rsid w:val="625A199F"/>
    <w:rsid w:val="62832362"/>
    <w:rsid w:val="62987DF8"/>
    <w:rsid w:val="62BA00BD"/>
    <w:rsid w:val="62CB7CAC"/>
    <w:rsid w:val="62E02B39"/>
    <w:rsid w:val="63052D94"/>
    <w:rsid w:val="633C571E"/>
    <w:rsid w:val="63520BC8"/>
    <w:rsid w:val="639D18E1"/>
    <w:rsid w:val="63B253EE"/>
    <w:rsid w:val="63B36F7A"/>
    <w:rsid w:val="63BF2E5E"/>
    <w:rsid w:val="640D6E85"/>
    <w:rsid w:val="642D56F7"/>
    <w:rsid w:val="6439645C"/>
    <w:rsid w:val="64434C84"/>
    <w:rsid w:val="6445241A"/>
    <w:rsid w:val="645243DC"/>
    <w:rsid w:val="64AA70C3"/>
    <w:rsid w:val="64D01C64"/>
    <w:rsid w:val="64F010B4"/>
    <w:rsid w:val="650601F5"/>
    <w:rsid w:val="65087084"/>
    <w:rsid w:val="652D17DA"/>
    <w:rsid w:val="653501B7"/>
    <w:rsid w:val="65666B10"/>
    <w:rsid w:val="6567369A"/>
    <w:rsid w:val="657D4C0E"/>
    <w:rsid w:val="658C0901"/>
    <w:rsid w:val="659E4505"/>
    <w:rsid w:val="65A23756"/>
    <w:rsid w:val="65B66DEA"/>
    <w:rsid w:val="65CC72BE"/>
    <w:rsid w:val="65F3776E"/>
    <w:rsid w:val="66025486"/>
    <w:rsid w:val="66B86269"/>
    <w:rsid w:val="66C77183"/>
    <w:rsid w:val="66F32459"/>
    <w:rsid w:val="67100B90"/>
    <w:rsid w:val="671F712B"/>
    <w:rsid w:val="6730086C"/>
    <w:rsid w:val="674200E4"/>
    <w:rsid w:val="674936B0"/>
    <w:rsid w:val="677E5EF5"/>
    <w:rsid w:val="67891505"/>
    <w:rsid w:val="67AF41C2"/>
    <w:rsid w:val="67C60521"/>
    <w:rsid w:val="67C729B0"/>
    <w:rsid w:val="680219E0"/>
    <w:rsid w:val="680A4557"/>
    <w:rsid w:val="68266534"/>
    <w:rsid w:val="685E1A48"/>
    <w:rsid w:val="68834B20"/>
    <w:rsid w:val="68D230EC"/>
    <w:rsid w:val="68D64FA8"/>
    <w:rsid w:val="68FE3A90"/>
    <w:rsid w:val="69173B02"/>
    <w:rsid w:val="69414C06"/>
    <w:rsid w:val="696858F8"/>
    <w:rsid w:val="696D5BD1"/>
    <w:rsid w:val="697F625B"/>
    <w:rsid w:val="6993316D"/>
    <w:rsid w:val="69D33119"/>
    <w:rsid w:val="69D91684"/>
    <w:rsid w:val="6A237662"/>
    <w:rsid w:val="6A3460A4"/>
    <w:rsid w:val="6A441817"/>
    <w:rsid w:val="6A4B418A"/>
    <w:rsid w:val="6A616BC7"/>
    <w:rsid w:val="6A7E5509"/>
    <w:rsid w:val="6AB73148"/>
    <w:rsid w:val="6ABF7ED9"/>
    <w:rsid w:val="6AE372E9"/>
    <w:rsid w:val="6B0D4B72"/>
    <w:rsid w:val="6B1A2452"/>
    <w:rsid w:val="6B206FCA"/>
    <w:rsid w:val="6B793EE7"/>
    <w:rsid w:val="6BAF2926"/>
    <w:rsid w:val="6BDF3BFC"/>
    <w:rsid w:val="6BF02AAF"/>
    <w:rsid w:val="6BFF33D0"/>
    <w:rsid w:val="6C1F6249"/>
    <w:rsid w:val="6C30148A"/>
    <w:rsid w:val="6C443714"/>
    <w:rsid w:val="6C4843CB"/>
    <w:rsid w:val="6C5352C2"/>
    <w:rsid w:val="6C9B063A"/>
    <w:rsid w:val="6D0532D0"/>
    <w:rsid w:val="6D190D7B"/>
    <w:rsid w:val="6D274AAD"/>
    <w:rsid w:val="6D380E4D"/>
    <w:rsid w:val="6D3F2196"/>
    <w:rsid w:val="6D4F70B5"/>
    <w:rsid w:val="6D8C1C7B"/>
    <w:rsid w:val="6DA556C3"/>
    <w:rsid w:val="6DB557DA"/>
    <w:rsid w:val="6DBE3C00"/>
    <w:rsid w:val="6DCA56A4"/>
    <w:rsid w:val="6DCC15FC"/>
    <w:rsid w:val="6DD31C2C"/>
    <w:rsid w:val="6DFD1140"/>
    <w:rsid w:val="6E1012BE"/>
    <w:rsid w:val="6E29001D"/>
    <w:rsid w:val="6E7F3F85"/>
    <w:rsid w:val="6EB80A2B"/>
    <w:rsid w:val="6EC7353B"/>
    <w:rsid w:val="6ED53E95"/>
    <w:rsid w:val="6EDC5197"/>
    <w:rsid w:val="6EE07B0F"/>
    <w:rsid w:val="6F3569B2"/>
    <w:rsid w:val="6F4020C3"/>
    <w:rsid w:val="6F4958BC"/>
    <w:rsid w:val="6F762077"/>
    <w:rsid w:val="6F8D0261"/>
    <w:rsid w:val="6FA0787A"/>
    <w:rsid w:val="6FC8141A"/>
    <w:rsid w:val="6FEA4EF9"/>
    <w:rsid w:val="6FF80517"/>
    <w:rsid w:val="6FFE7914"/>
    <w:rsid w:val="7001163F"/>
    <w:rsid w:val="70026FD1"/>
    <w:rsid w:val="70102BC3"/>
    <w:rsid w:val="704723DF"/>
    <w:rsid w:val="70AD3F08"/>
    <w:rsid w:val="70C72E3E"/>
    <w:rsid w:val="70C76F9D"/>
    <w:rsid w:val="70C94CC7"/>
    <w:rsid w:val="70DF22FB"/>
    <w:rsid w:val="70E21E69"/>
    <w:rsid w:val="71096588"/>
    <w:rsid w:val="71112179"/>
    <w:rsid w:val="712366ED"/>
    <w:rsid w:val="71534707"/>
    <w:rsid w:val="715C0674"/>
    <w:rsid w:val="717F7394"/>
    <w:rsid w:val="719C0111"/>
    <w:rsid w:val="71A96930"/>
    <w:rsid w:val="71AF691E"/>
    <w:rsid w:val="71B40F4A"/>
    <w:rsid w:val="71E8116B"/>
    <w:rsid w:val="71EF6091"/>
    <w:rsid w:val="720D07ED"/>
    <w:rsid w:val="721C3B07"/>
    <w:rsid w:val="7220475D"/>
    <w:rsid w:val="72225430"/>
    <w:rsid w:val="722E5BA8"/>
    <w:rsid w:val="72442C45"/>
    <w:rsid w:val="724773A4"/>
    <w:rsid w:val="724A1946"/>
    <w:rsid w:val="726E25F4"/>
    <w:rsid w:val="728504BE"/>
    <w:rsid w:val="729A651A"/>
    <w:rsid w:val="72BF7418"/>
    <w:rsid w:val="735925F1"/>
    <w:rsid w:val="73651BA6"/>
    <w:rsid w:val="73717BF1"/>
    <w:rsid w:val="73906C98"/>
    <w:rsid w:val="73C50EDA"/>
    <w:rsid w:val="73FA3E9B"/>
    <w:rsid w:val="73FB23B1"/>
    <w:rsid w:val="74077B9B"/>
    <w:rsid w:val="74BE3F17"/>
    <w:rsid w:val="74CF10D0"/>
    <w:rsid w:val="74E00234"/>
    <w:rsid w:val="75672D43"/>
    <w:rsid w:val="75A809B1"/>
    <w:rsid w:val="762C6643"/>
    <w:rsid w:val="7635341F"/>
    <w:rsid w:val="763E730D"/>
    <w:rsid w:val="7650739B"/>
    <w:rsid w:val="76901C9F"/>
    <w:rsid w:val="769E7B8C"/>
    <w:rsid w:val="76C85D8C"/>
    <w:rsid w:val="76EE5CF1"/>
    <w:rsid w:val="77187B94"/>
    <w:rsid w:val="771F1308"/>
    <w:rsid w:val="77447D32"/>
    <w:rsid w:val="7761582D"/>
    <w:rsid w:val="776A7E34"/>
    <w:rsid w:val="77C66CBD"/>
    <w:rsid w:val="77FA126E"/>
    <w:rsid w:val="782E1374"/>
    <w:rsid w:val="78394863"/>
    <w:rsid w:val="783D40F7"/>
    <w:rsid w:val="786630E1"/>
    <w:rsid w:val="78B7235D"/>
    <w:rsid w:val="78BA4DB0"/>
    <w:rsid w:val="78BD0125"/>
    <w:rsid w:val="78D86510"/>
    <w:rsid w:val="78DA67E2"/>
    <w:rsid w:val="79381139"/>
    <w:rsid w:val="79B57837"/>
    <w:rsid w:val="7A4072A0"/>
    <w:rsid w:val="7A626225"/>
    <w:rsid w:val="7A9D4AC7"/>
    <w:rsid w:val="7AB805A2"/>
    <w:rsid w:val="7AE071C4"/>
    <w:rsid w:val="7AEA3233"/>
    <w:rsid w:val="7B2D143E"/>
    <w:rsid w:val="7B5D6BEC"/>
    <w:rsid w:val="7B8A0516"/>
    <w:rsid w:val="7B9E193B"/>
    <w:rsid w:val="7BD86E7A"/>
    <w:rsid w:val="7BDA662F"/>
    <w:rsid w:val="7BE347D9"/>
    <w:rsid w:val="7C1259EB"/>
    <w:rsid w:val="7C143275"/>
    <w:rsid w:val="7C307271"/>
    <w:rsid w:val="7C3477A7"/>
    <w:rsid w:val="7C896F53"/>
    <w:rsid w:val="7CD30646"/>
    <w:rsid w:val="7CEC07CB"/>
    <w:rsid w:val="7CF65568"/>
    <w:rsid w:val="7D240C69"/>
    <w:rsid w:val="7D4C40BC"/>
    <w:rsid w:val="7D4C6882"/>
    <w:rsid w:val="7D89356F"/>
    <w:rsid w:val="7DB76B0F"/>
    <w:rsid w:val="7DE55000"/>
    <w:rsid w:val="7EBF0BCA"/>
    <w:rsid w:val="7F047088"/>
    <w:rsid w:val="7F2A6D38"/>
    <w:rsid w:val="7F3019A3"/>
    <w:rsid w:val="7F387FD9"/>
    <w:rsid w:val="7F3C6D50"/>
    <w:rsid w:val="7F5739C3"/>
    <w:rsid w:val="7F5B104E"/>
    <w:rsid w:val="7F5F1978"/>
    <w:rsid w:val="7F6310FC"/>
    <w:rsid w:val="7F7D2037"/>
    <w:rsid w:val="7F8F210A"/>
    <w:rsid w:val="7FA4051D"/>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360" w:lineRule="auto"/>
      <w:outlineLvl w:val="1"/>
    </w:pPr>
    <w:rPr>
      <w:rFonts w:ascii="Cambria" w:hAnsi="Cambria" w:eastAsia="宋体" w:cs="Times New Roman"/>
      <w:b/>
      <w:bCs/>
      <w:kern w:val="0"/>
      <w:sz w:val="32"/>
      <w:szCs w:val="32"/>
    </w:rPr>
  </w:style>
  <w:style w:type="character" w:default="1" w:styleId="13">
    <w:name w:val="Default Paragraph Font"/>
    <w:unhideWhenUsed/>
    <w:uiPriority w:val="1"/>
  </w:style>
  <w:style w:type="table" w:default="1" w:styleId="21">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31"/>
    <w:unhideWhenUsed/>
    <w:qFormat/>
    <w:uiPriority w:val="99"/>
    <w:rPr>
      <w:b/>
      <w:bCs/>
    </w:rPr>
  </w:style>
  <w:style w:type="paragraph" w:styleId="5">
    <w:name w:val="annotation text"/>
    <w:basedOn w:val="1"/>
    <w:link w:val="30"/>
    <w:unhideWhenUsed/>
    <w:qFormat/>
    <w:uiPriority w:val="99"/>
    <w:pPr>
      <w:jc w:val="left"/>
    </w:pPr>
  </w:style>
  <w:style w:type="paragraph" w:styleId="6">
    <w:name w:val="Balloon Text"/>
    <w:basedOn w:val="1"/>
    <w:link w:val="26"/>
    <w:unhideWhenUsed/>
    <w:qFormat/>
    <w:uiPriority w:val="99"/>
    <w:rPr>
      <w:sz w:val="18"/>
      <w:szCs w:val="18"/>
    </w:rPr>
  </w:style>
  <w:style w:type="paragraph" w:styleId="7">
    <w:name w:val="footer"/>
    <w:basedOn w:val="1"/>
    <w:link w:val="24"/>
    <w:unhideWhenUsed/>
    <w:qFormat/>
    <w:uiPriority w:val="99"/>
    <w:pPr>
      <w:tabs>
        <w:tab w:val="center" w:pos="4153"/>
        <w:tab w:val="right" w:pos="8306"/>
      </w:tabs>
      <w:snapToGrid w:val="0"/>
      <w:jc w:val="left"/>
    </w:pPr>
    <w:rPr>
      <w:sz w:val="18"/>
      <w:szCs w:val="18"/>
    </w:rPr>
  </w:style>
  <w:style w:type="paragraph" w:styleId="8">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adjustRightInd w:val="0"/>
      <w:snapToGrid w:val="0"/>
      <w:spacing w:line="480" w:lineRule="auto"/>
    </w:pPr>
    <w:rPr>
      <w:rFonts w:eastAsia="黑体"/>
      <w:sz w:val="28"/>
    </w:rPr>
  </w:style>
  <w:style w:type="paragraph" w:styleId="10">
    <w:name w:val="footnote text"/>
    <w:basedOn w:val="1"/>
    <w:unhideWhenUsed/>
    <w:qFormat/>
    <w:uiPriority w:val="99"/>
    <w:pPr>
      <w:snapToGrid w:val="0"/>
      <w:jc w:val="left"/>
    </w:pPr>
    <w:rPr>
      <w:rFonts w:ascii="Calibri" w:hAnsi="Calibri" w:eastAsia="宋体" w:cs="Times New Roman"/>
      <w:sz w:val="18"/>
      <w:szCs w:val="18"/>
    </w:rPr>
  </w:style>
  <w:style w:type="paragraph" w:styleId="11">
    <w:name w:val="toc 2"/>
    <w:basedOn w:val="1"/>
    <w:next w:val="1"/>
    <w:unhideWhenUsed/>
    <w:qFormat/>
    <w:uiPriority w:val="39"/>
    <w:pPr>
      <w:ind w:left="420" w:leftChars="200"/>
    </w:pPr>
  </w:style>
  <w:style w:type="paragraph" w:styleId="12">
    <w:name w:val="Normal (Web)"/>
    <w:basedOn w:val="1"/>
    <w:unhideWhenUsed/>
    <w:qFormat/>
    <w:uiPriority w:val="99"/>
    <w:pPr>
      <w:jc w:val="left"/>
    </w:pPr>
    <w:rPr>
      <w:rFonts w:cs="Times New Roman"/>
      <w:kern w:val="0"/>
      <w:sz w:val="24"/>
    </w:rPr>
  </w:style>
  <w:style w:type="character" w:styleId="14">
    <w:name w:val="FollowedHyperlink"/>
    <w:basedOn w:val="13"/>
    <w:unhideWhenUsed/>
    <w:qFormat/>
    <w:uiPriority w:val="99"/>
    <w:rPr>
      <w:color w:val="222222"/>
      <w:u w:val="none"/>
    </w:rPr>
  </w:style>
  <w:style w:type="character" w:styleId="15">
    <w:name w:val="Emphasis"/>
    <w:basedOn w:val="13"/>
    <w:qFormat/>
    <w:uiPriority w:val="20"/>
    <w:rPr>
      <w:color w:val="CCCCCC"/>
      <w:sz w:val="18"/>
      <w:szCs w:val="18"/>
    </w:rPr>
  </w:style>
  <w:style w:type="character" w:styleId="16">
    <w:name w:val="Hyperlink"/>
    <w:basedOn w:val="13"/>
    <w:unhideWhenUsed/>
    <w:qFormat/>
    <w:uiPriority w:val="99"/>
    <w:rPr>
      <w:color w:val="222222"/>
      <w:u w:val="none"/>
    </w:rPr>
  </w:style>
  <w:style w:type="character" w:styleId="17">
    <w:name w:val="HTML Code"/>
    <w:basedOn w:val="13"/>
    <w:unhideWhenUsed/>
    <w:qFormat/>
    <w:uiPriority w:val="99"/>
    <w:rPr>
      <w:rFonts w:ascii="Courier New" w:hAnsi="Courier New"/>
      <w:sz w:val="20"/>
    </w:rPr>
  </w:style>
  <w:style w:type="character" w:styleId="18">
    <w:name w:val="annotation reference"/>
    <w:basedOn w:val="13"/>
    <w:unhideWhenUsed/>
    <w:qFormat/>
    <w:uiPriority w:val="99"/>
    <w:rPr>
      <w:sz w:val="21"/>
      <w:szCs w:val="21"/>
    </w:rPr>
  </w:style>
  <w:style w:type="character" w:styleId="19">
    <w:name w:val="HTML Cite"/>
    <w:basedOn w:val="13"/>
    <w:unhideWhenUsed/>
    <w:qFormat/>
    <w:uiPriority w:val="99"/>
  </w:style>
  <w:style w:type="character" w:styleId="20">
    <w:name w:val="footnote reference"/>
    <w:unhideWhenUsed/>
    <w:qFormat/>
    <w:uiPriority w:val="99"/>
    <w:rPr>
      <w:vertAlign w:val="superscript"/>
    </w:rPr>
  </w:style>
  <w:style w:type="table" w:styleId="22">
    <w:name w:val="Table Grid"/>
    <w:basedOn w:val="2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3">
    <w:name w:val="页眉 Char"/>
    <w:basedOn w:val="13"/>
    <w:link w:val="8"/>
    <w:qFormat/>
    <w:uiPriority w:val="99"/>
    <w:rPr>
      <w:sz w:val="18"/>
      <w:szCs w:val="18"/>
    </w:rPr>
  </w:style>
  <w:style w:type="character" w:customStyle="1" w:styleId="24">
    <w:name w:val="页脚 Char"/>
    <w:basedOn w:val="13"/>
    <w:link w:val="7"/>
    <w:qFormat/>
    <w:uiPriority w:val="99"/>
    <w:rPr>
      <w:sz w:val="18"/>
      <w:szCs w:val="18"/>
    </w:rPr>
  </w:style>
  <w:style w:type="paragraph" w:customStyle="1" w:styleId="25">
    <w:name w:val="List Paragraph"/>
    <w:basedOn w:val="1"/>
    <w:qFormat/>
    <w:uiPriority w:val="34"/>
    <w:pPr>
      <w:ind w:firstLine="420" w:firstLineChars="200"/>
    </w:pPr>
  </w:style>
  <w:style w:type="character" w:customStyle="1" w:styleId="26">
    <w:name w:val="批注框文本 Char"/>
    <w:basedOn w:val="13"/>
    <w:link w:val="6"/>
    <w:semiHidden/>
    <w:qFormat/>
    <w:uiPriority w:val="99"/>
    <w:rPr>
      <w:sz w:val="18"/>
      <w:szCs w:val="18"/>
    </w:rPr>
  </w:style>
  <w:style w:type="paragraph" w:customStyle="1" w:styleId="27">
    <w:name w:val="Default"/>
    <w:unhideWhenUsed/>
    <w:qFormat/>
    <w:uiPriority w:val="99"/>
    <w:pPr>
      <w:widowControl w:val="0"/>
      <w:autoSpaceDE w:val="0"/>
      <w:autoSpaceDN w:val="0"/>
      <w:adjustRightInd w:val="0"/>
    </w:pPr>
    <w:rPr>
      <w:rFonts w:ascii="仿宋" w:hAnsi="仿宋" w:eastAsia="仿宋" w:cstheme="minorBidi"/>
      <w:color w:val="000000"/>
      <w:sz w:val="24"/>
      <w:lang w:val="en-US" w:eastAsia="zh-CN" w:bidi="ar-SA"/>
    </w:rPr>
  </w:style>
  <w:style w:type="paragraph" w:customStyle="1" w:styleId="28">
    <w:name w:val="普通(网站)3"/>
    <w:basedOn w:val="1"/>
    <w:qFormat/>
    <w:uiPriority w:val="0"/>
    <w:pPr>
      <w:jc w:val="left"/>
    </w:pPr>
    <w:rPr>
      <w:rFonts w:ascii="Calibri" w:hAnsi="Calibri" w:eastAsia="宋体" w:cs="Times New Roman"/>
      <w:kern w:val="0"/>
      <w:sz w:val="24"/>
      <w:szCs w:val="24"/>
    </w:rPr>
  </w:style>
  <w:style w:type="paragraph" w:customStyle="1" w:styleId="29">
    <w:name w:val="普通(网站)2"/>
    <w:basedOn w:val="1"/>
    <w:qFormat/>
    <w:uiPriority w:val="0"/>
    <w:pPr>
      <w:jc w:val="left"/>
    </w:pPr>
    <w:rPr>
      <w:rFonts w:ascii="Calibri" w:hAnsi="Calibri" w:eastAsia="宋体" w:cs="Times New Roman"/>
      <w:kern w:val="0"/>
      <w:sz w:val="24"/>
      <w:szCs w:val="24"/>
    </w:rPr>
  </w:style>
  <w:style w:type="character" w:customStyle="1" w:styleId="30">
    <w:name w:val="批注文字 Char"/>
    <w:basedOn w:val="13"/>
    <w:link w:val="5"/>
    <w:semiHidden/>
    <w:qFormat/>
    <w:uiPriority w:val="99"/>
    <w:rPr>
      <w:rFonts w:asciiTheme="minorHAnsi" w:hAnsiTheme="minorHAnsi" w:eastAsiaTheme="minorEastAsia" w:cstheme="minorBidi"/>
      <w:kern w:val="2"/>
      <w:sz w:val="21"/>
      <w:szCs w:val="22"/>
    </w:rPr>
  </w:style>
  <w:style w:type="character" w:customStyle="1" w:styleId="31">
    <w:name w:val="批注主题 Char"/>
    <w:basedOn w:val="30"/>
    <w:link w:val="4"/>
    <w:semiHidden/>
    <w:qFormat/>
    <w:uiPriority w:val="99"/>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chart" Target="charts/chart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chart" Target="charts/chart12.xml"/><Relationship Id="rId20" Type="http://schemas.openxmlformats.org/officeDocument/2006/relationships/chart" Target="charts/chart11.xml"/><Relationship Id="rId2" Type="http://schemas.openxmlformats.org/officeDocument/2006/relationships/settings" Target="settings.xml"/><Relationship Id="rId19" Type="http://schemas.openxmlformats.org/officeDocument/2006/relationships/chart" Target="charts/chart10.xml"/><Relationship Id="rId18" Type="http://schemas.openxmlformats.org/officeDocument/2006/relationships/chart" Target="charts/chart9.xml"/><Relationship Id="rId17" Type="http://schemas.openxmlformats.org/officeDocument/2006/relationships/chart" Target="charts/chart8.xml"/><Relationship Id="rId16" Type="http://schemas.openxmlformats.org/officeDocument/2006/relationships/chart" Target="charts/chart7.xml"/><Relationship Id="rId15" Type="http://schemas.openxmlformats.org/officeDocument/2006/relationships/chart" Target="charts/chart6.xml"/><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10.xml.rels><?xml version="1.0" encoding="UTF-8" standalone="yes"?>
<Relationships xmlns="http://schemas.openxmlformats.org/package/2006/relationships"><Relationship Id="rId1" Type="http://schemas.openxmlformats.org/officeDocument/2006/relationships/oleObject" Target="C:\Users\jj\Desktop\&#26609;&#29366;&#22270;&#2663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C:\Users\jj\Desktop\&#26609;&#29366;&#22270;&#2663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oleObject" Target="C:\Users\jj\Desktop\&#26609;&#29366;&#22270;&#2663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Users\jj\Desktop\&#26609;&#29366;&#22270;&#2663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Users\jj\Desktop\&#26609;&#29366;&#22270;&#2663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Users\jj\Desktop\&#26609;&#29366;&#22270;&#2663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C:\Users\jj\Desktop\&#26609;&#29366;&#22270;&#2663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C:\Users\jj\Desktop\&#26609;&#29366;&#22270;&#266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全市生产总值</c:v>
                </c:pt>
              </c:strCache>
            </c:strRef>
          </c:tx>
          <c:spPr>
            <a:solidFill>
              <a:schemeClr val="accent1"/>
            </a:solidFill>
            <a:ln>
              <a:noFill/>
            </a:ln>
            <a:effectLst/>
          </c:spPr>
          <c:invertIfNegative val="0"/>
          <c:dLbls>
            <c:numFmt formatCode="General" sourceLinked="1"/>
            <c:spPr>
              <a:noFill/>
              <a:ln>
                <a:noFill/>
              </a:ln>
              <a:effectLst/>
            </c:spPr>
            <c:txPr>
              <a:bodyPr rot="0" spcFirstLastPara="1" vertOverflow="ellipsis"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2011年</c:v>
                </c:pt>
                <c:pt idx="1">
                  <c:v>2012年</c:v>
                </c:pt>
                <c:pt idx="2">
                  <c:v>2013年</c:v>
                </c:pt>
                <c:pt idx="3">
                  <c:v>2014年</c:v>
                </c:pt>
                <c:pt idx="4">
                  <c:v>2015年</c:v>
                </c:pt>
                <c:pt idx="5">
                  <c:v>2016年</c:v>
                </c:pt>
                <c:pt idx="6">
                  <c:v>2017年</c:v>
                </c:pt>
              </c:strCache>
            </c:strRef>
          </c:cat>
          <c:val>
            <c:numRef>
              <c:f>Sheet1!$B$2:$B$8</c:f>
              <c:numCache>
                <c:formatCode>General</c:formatCode>
                <c:ptCount val="7"/>
                <c:pt idx="0" c:formatCode="General">
                  <c:v>16.14</c:v>
                </c:pt>
                <c:pt idx="1" c:formatCode="General">
                  <c:v>17.75</c:v>
                </c:pt>
                <c:pt idx="2" c:formatCode="General">
                  <c:v>19.72</c:v>
                </c:pt>
                <c:pt idx="3" c:formatCode="General">
                  <c:v>21.09</c:v>
                </c:pt>
                <c:pt idx="4" c:formatCode="General">
                  <c:v>22.28</c:v>
                </c:pt>
                <c:pt idx="5" c:formatCode="General">
                  <c:v>24.48</c:v>
                </c:pt>
                <c:pt idx="6" c:formatCode="General">
                  <c:v>27.19</c:v>
                </c:pt>
              </c:numCache>
            </c:numRef>
          </c:val>
        </c:ser>
        <c:dLbls>
          <c:dLblPos val="outEnd"/>
          <c:showLegendKey val="0"/>
          <c:showVal val="0"/>
          <c:showCatName val="0"/>
          <c:showSerName val="0"/>
          <c:showPercent val="0"/>
          <c:showBubbleSize val="0"/>
        </c:dLbls>
        <c:gapWidth val="219"/>
        <c:overlap val="-27"/>
        <c:axId val="141592624"/>
        <c:axId val="141593184"/>
      </c:barChart>
      <c:catAx>
        <c:axId val="14159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vert="horz" wrap="square" anchor="ctr" anchorCtr="1"/>
          <a:lstStyle/>
          <a:p>
            <a:pPr>
              <a:defRPr sz="900" b="0" i="0" u="none" strike="noStrike" kern="1200" baseline="0">
                <a:solidFill>
                  <a:schemeClr val="tx1">
                    <a:lumMod val="65000"/>
                    <a:lumOff val="35000"/>
                  </a:schemeClr>
                </a:solidFill>
                <a:latin typeface="+mn-lt"/>
                <a:ea typeface="+mn-ea"/>
                <a:cs typeface="+mn-cs"/>
              </a:defRPr>
            </a:pPr>
          </a:p>
        </c:txPr>
        <c:crossAx val="141593184"/>
        <c:crosses val="autoZero"/>
        <c:auto val="1"/>
        <c:lblAlgn val="ctr"/>
        <c:lblOffset val="100"/>
        <c:tickMarkSkip val="1"/>
        <c:noMultiLvlLbl val="0"/>
      </c:catAx>
      <c:valAx>
        <c:axId val="141593184"/>
        <c:scaling>
          <c:orientation val="minMax"/>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vert="horz" wrap="square" anchor="ctr" anchorCtr="1"/>
          <a:lstStyle/>
          <a:p>
            <a:pPr>
              <a:defRPr sz="900" b="0" i="0" u="none" strike="noStrike" kern="1200" baseline="0">
                <a:solidFill>
                  <a:schemeClr val="tx1">
                    <a:lumMod val="65000"/>
                    <a:lumOff val="35000"/>
                  </a:schemeClr>
                </a:solidFill>
                <a:latin typeface="+mn-lt"/>
                <a:ea typeface="+mn-ea"/>
                <a:cs typeface="+mn-cs"/>
              </a:defRPr>
            </a:pPr>
          </a:p>
        </c:txPr>
        <c:crossAx val="141592624"/>
        <c:crosses val="autoZero"/>
        <c:crossBetween val="between"/>
      </c:valAx>
      <c:spPr>
        <a:noFill/>
        <a:ln>
          <a:noFill/>
        </a:ln>
        <a:effectLst/>
      </c:spPr>
    </c:plotArea>
    <c:legend>
      <c:legendPos val="b"/>
      <c:layout/>
      <c:overlay val="0"/>
      <c:spPr>
        <a:noFill/>
        <a:ln>
          <a:noFill/>
        </a:ln>
        <a:effectLst/>
      </c:spPr>
      <c:txPr>
        <a:bodyPr rot="0" spcFirstLastPara="1" vertOverflow="ellipsis" horzOverflow="overflow" vert="horz" wrap="square" anchor="ctr" anchorCtr="1"/>
        <a:lstStyle/>
        <a:p>
          <a:pPr>
            <a:defRPr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horzOverflow="overflow" vert="horz" wrap="square" anchor="ctr" anchorCtr="1"/>
        <a:lstStyle/>
        <a:p>
          <a:pPr>
            <a:defRPr lang="zh-CN" sz="900" b="0" i="0" u="none" strike="noStrike" kern="1200" spc="0" baseline="0">
              <a:solidFill>
                <a:sysClr val="windowText" lastClr="000000"/>
              </a:solidFill>
              <a:latin typeface="仿宋" pitchFamily="3" charset="-122"/>
              <a:ea typeface="仿宋" pitchFamily="3" charset="-122"/>
              <a:cs typeface="仿宋" pitchFamily="3" charset="-122"/>
              <a:sym typeface="仿宋" pitchFamily="3" charset="-122"/>
            </a:defRPr>
          </a:pPr>
        </a:p>
      </c:txPr>
    </c:title>
    <c:autoTitleDeleted val="0"/>
    <c:plotArea>
      <c:layout/>
      <c:pieChart>
        <c:varyColors val="1"/>
        <c:ser>
          <c:idx val="0"/>
          <c:order val="0"/>
          <c:tx>
            <c:strRef>
              <c:f>[柱状图标.xlsx]五指山!$I$58</c:f>
              <c:strCache>
                <c:ptCount val="1"/>
                <c:pt idx="0">
                  <c:v>2014年</c:v>
                </c:pt>
              </c:strCache>
            </c:strRef>
          </c:tx>
          <c:spPr>
            <a:effectLst/>
          </c:spPr>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27208882337553"/>
                  <c:y val="-0.214285297669636"/>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manualLayout>
                      <c:w val="0.312381554011371"/>
                      <c:h val="0.143273150844496"/>
                    </c:manualLayout>
                  </c15:layout>
                </c:ext>
              </c:extLst>
            </c:dLbl>
            <c:dLbl>
              <c:idx val="1"/>
              <c:layout>
                <c:manualLayout>
                  <c:x val="-0.124934778183105"/>
                  <c:y val="0.0454614390714547"/>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34687993777105"/>
                  <c:y val="0.0411233185730134"/>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1" vertOverflow="ellipsis" horzOverflow="overflow" vert="horz" wrap="square" lIns="38100" tIns="19050" rIns="38100" bIns="19050" anchor="ctr" anchorCtr="1">
                <a:spAutoFit/>
              </a:bodyPr>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noFill/>
                    <a:ln w="9525" cap="flat" cmpd="sng" algn="ctr">
                      <a:solidFill>
                        <a:schemeClr val="tx1">
                          <a:lumMod val="35000"/>
                          <a:lumOff val="65000"/>
                        </a:schemeClr>
                      </a:solidFill>
                      <a:prstDash val="solid"/>
                      <a:round/>
                    </a:ln>
                    <a:effectLst/>
                  </c:spPr>
                </c15:leaderLines>
              </c:ext>
            </c:extLst>
          </c:dLbls>
          <c:cat>
            <c:strRef>
              <c:f>[柱状图标.xlsx]五指山!$J$52:$M$52</c:f>
              <c:strCache>
                <c:ptCount val="4"/>
                <c:pt idx="0">
                  <c:v>住宅</c:v>
                </c:pt>
                <c:pt idx="1">
                  <c:v>办公楼</c:v>
                </c:pt>
                <c:pt idx="2">
                  <c:v>商业营业用房</c:v>
                </c:pt>
                <c:pt idx="3">
                  <c:v>其他用房</c:v>
                </c:pt>
              </c:strCache>
            </c:strRef>
          </c:cat>
          <c:val>
            <c:numRef>
              <c:f>[柱状图标.xlsx]五指山!$J$58:$M$58</c:f>
              <c:numCache>
                <c:formatCode>0.00%</c:formatCode>
                <c:ptCount val="4"/>
                <c:pt idx="0">
                  <c:v>0.973560910307898</c:v>
                </c:pt>
                <c:pt idx="1">
                  <c:v>0.00903614457831325</c:v>
                </c:pt>
                <c:pt idx="2">
                  <c:v>0.0167336010709505</c:v>
                </c:pt>
                <c:pt idx="3">
                  <c:v>0.000669344042838019</c:v>
                </c:pt>
              </c:numCache>
            </c:numRef>
          </c:val>
        </c:ser>
        <c:dLbls>
          <c:dLblPos val="bestFit"/>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1"/>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2"/>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3"/>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ayout/>
      <c:overlay val="0"/>
      <c:spPr>
        <a:noFill/>
        <a:ln>
          <a:noFill/>
        </a:ln>
        <a:effectLst/>
      </c:spPr>
      <c:txPr>
        <a:bodyPr rot="0" spcFirstLastPara="1"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rot="0" spcFirstLastPara="0" vertOverflow="ellipsis" horzOverflow="overflow" vert="horz" wrap="square" anchor="ctr" anchorCtr="1"/>
    <a:lstStyle/>
    <a:p>
      <a:pPr>
        <a:defRPr lang="zh-CN">
          <a:solidFill>
            <a:sysClr val="windowText" lastClr="000000"/>
          </a:solidFill>
          <a:latin typeface="仿宋" pitchFamily="3" charset="-122"/>
          <a:ea typeface="仿宋" pitchFamily="3" charset="-122"/>
          <a:cs typeface="仿宋" pitchFamily="3" charset="-122"/>
          <a:sym typeface="仿宋" pitchFamily="3" charset="-122"/>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horzOverflow="overflow" vert="horz" wrap="square" anchor="ctr" anchorCtr="1"/>
        <a:lstStyle/>
        <a:p>
          <a:pPr>
            <a:defRPr lang="zh-CN" sz="900" b="0" i="0" u="none" strike="noStrike" kern="1200" spc="0" baseline="0">
              <a:solidFill>
                <a:sysClr val="windowText" lastClr="000000"/>
              </a:solidFill>
              <a:latin typeface="仿宋" pitchFamily="3" charset="-122"/>
              <a:ea typeface="仿宋" pitchFamily="3" charset="-122"/>
              <a:cs typeface="仿宋" pitchFamily="3" charset="-122"/>
              <a:sym typeface="仿宋" pitchFamily="3" charset="-122"/>
            </a:defRPr>
          </a:pPr>
        </a:p>
      </c:txPr>
    </c:title>
    <c:autoTitleDeleted val="0"/>
    <c:plotArea>
      <c:layout/>
      <c:pieChart>
        <c:varyColors val="1"/>
        <c:ser>
          <c:idx val="0"/>
          <c:order val="0"/>
          <c:tx>
            <c:strRef>
              <c:f>[柱状图标.xlsx]五指山!$I$59</c:f>
              <c:strCache>
                <c:ptCount val="1"/>
                <c:pt idx="0">
                  <c:v>2015年</c:v>
                </c:pt>
              </c:strCache>
            </c:strRef>
          </c:tx>
          <c:spPr>
            <a:effectLst/>
          </c:spPr>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22773692497681"/>
                  <c:y val="-0.22302075819719"/>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manualLayout>
                      <c:w val="0.299182903834067"/>
                      <c:h val="0.143273150844496"/>
                    </c:manualLayout>
                  </c15:layout>
                </c:ext>
              </c:extLst>
            </c:dLbl>
            <c:dLbl>
              <c:idx val="1"/>
              <c:layout>
                <c:manualLayout>
                  <c:x val="-0.128233285826179"/>
                  <c:y val="0.0367100956484849"/>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manualLayout>
                      <c:w val="0.192017598994343"/>
                      <c:h val="0.0803727431566686"/>
                    </c:manualLayout>
                  </c15:layout>
                </c:ext>
              </c:extLst>
            </c:dLbl>
            <c:dLbl>
              <c:idx val="2"/>
              <c:layout>
                <c:manualLayout>
                  <c:x val="-0.01636985226448"/>
                  <c:y val="-0.0116964101029899"/>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24778349589202"/>
                  <c:y val="0.0280176647530094"/>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1" vertOverflow="ellipsis" horzOverflow="overflow" vert="horz" wrap="square" lIns="38100" tIns="19050" rIns="38100" bIns="19050" anchor="ctr" anchorCtr="1">
                <a:spAutoFit/>
              </a:bodyPr>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noFill/>
                    <a:ln w="9525" cap="flat" cmpd="sng" algn="ctr">
                      <a:solidFill>
                        <a:schemeClr val="tx1">
                          <a:lumMod val="35000"/>
                          <a:lumOff val="65000"/>
                        </a:schemeClr>
                      </a:solidFill>
                      <a:prstDash val="solid"/>
                      <a:round/>
                    </a:ln>
                    <a:effectLst/>
                  </c:spPr>
                </c15:leaderLines>
              </c:ext>
            </c:extLst>
          </c:dLbls>
          <c:cat>
            <c:strRef>
              <c:f>[柱状图标.xlsx]五指山!$J$52:$M$52</c:f>
              <c:strCache>
                <c:ptCount val="4"/>
                <c:pt idx="0">
                  <c:v>住宅</c:v>
                </c:pt>
                <c:pt idx="1">
                  <c:v>办公楼</c:v>
                </c:pt>
                <c:pt idx="2">
                  <c:v>商业营业用房</c:v>
                </c:pt>
                <c:pt idx="3">
                  <c:v>其他用房</c:v>
                </c:pt>
              </c:strCache>
            </c:strRef>
          </c:cat>
          <c:val>
            <c:numRef>
              <c:f>[柱状图标.xlsx]五指山!$J$59:$M$59</c:f>
              <c:numCache>
                <c:formatCode>0.00%</c:formatCode>
                <c:ptCount val="4"/>
                <c:pt idx="0">
                  <c:v>0.973084230525649</c:v>
                </c:pt>
                <c:pt idx="1">
                  <c:v>0</c:v>
                </c:pt>
                <c:pt idx="2">
                  <c:v>0.0174160861304623</c:v>
                </c:pt>
                <c:pt idx="3">
                  <c:v>0.00949968334388854</c:v>
                </c:pt>
              </c:numCache>
            </c:numRef>
          </c:val>
        </c:ser>
        <c:dLbls>
          <c:dLblPos val="bestFit"/>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1"/>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2"/>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3"/>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ayout/>
      <c:overlay val="0"/>
      <c:spPr>
        <a:noFill/>
        <a:ln>
          <a:noFill/>
        </a:ln>
        <a:effectLst/>
      </c:spPr>
      <c:txPr>
        <a:bodyPr rot="0" spcFirstLastPara="1"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rot="0" spcFirstLastPara="0" vertOverflow="ellipsis" horzOverflow="overflow" vert="horz" wrap="square" anchor="ctr" anchorCtr="1"/>
    <a:lstStyle/>
    <a:p>
      <a:pPr>
        <a:defRPr lang="zh-CN">
          <a:solidFill>
            <a:sysClr val="windowText" lastClr="000000"/>
          </a:solidFill>
          <a:latin typeface="仿宋" pitchFamily="3" charset="-122"/>
          <a:ea typeface="仿宋" pitchFamily="3" charset="-122"/>
          <a:cs typeface="仿宋" pitchFamily="3" charset="-122"/>
          <a:sym typeface="仿宋" pitchFamily="3" charset="-122"/>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horzOverflow="overflow" vert="horz" wrap="square" anchor="ctr" anchorCtr="1"/>
        <a:lstStyle/>
        <a:p>
          <a:pPr>
            <a:defRPr lang="zh-CN" sz="900" b="0" i="0" u="none" strike="noStrike" kern="1200" spc="0" baseline="0">
              <a:solidFill>
                <a:sysClr val="windowText" lastClr="000000"/>
              </a:solidFill>
              <a:latin typeface="仿宋" pitchFamily="3" charset="-122"/>
              <a:ea typeface="仿宋" pitchFamily="3" charset="-122"/>
              <a:cs typeface="仿宋" pitchFamily="3" charset="-122"/>
              <a:sym typeface="仿宋" pitchFamily="3" charset="-122"/>
            </a:defRPr>
          </a:pPr>
        </a:p>
      </c:txPr>
    </c:title>
    <c:autoTitleDeleted val="0"/>
    <c:plotArea>
      <c:layout/>
      <c:pieChart>
        <c:varyColors val="1"/>
        <c:ser>
          <c:idx val="0"/>
          <c:order val="0"/>
          <c:tx>
            <c:strRef>
              <c:f>[柱状图标.xlsx]五指山!$I$60</c:f>
              <c:strCache>
                <c:ptCount val="1"/>
                <c:pt idx="0">
                  <c:v>2016年</c:v>
                </c:pt>
              </c:strCache>
            </c:strRef>
          </c:tx>
          <c:spPr>
            <a:effectLst/>
          </c:spPr>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14549436795995"/>
                  <c:y val="-0.17472335468841"/>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manualLayout>
                      <c:w val="0.265018773466834"/>
                      <c:h val="0.143273150844496"/>
                    </c:manualLayout>
                  </c15:layout>
                </c:ext>
              </c:extLst>
            </c:dLbl>
            <c:dLbl>
              <c:idx val="1"/>
              <c:layout>
                <c:manualLayout>
                  <c:x val="0.0125548894219227"/>
                  <c:y val="0.00912130575245603"/>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81808502436378"/>
                  <c:y val="0.0278107398334036"/>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manualLayout>
                      <c:w val="0.291927409261577"/>
                      <c:h val="0.102504368083867"/>
                    </c:manualLayout>
                  </c15:layout>
                </c:ext>
              </c:extLst>
            </c:dLbl>
            <c:dLbl>
              <c:idx val="3"/>
              <c:layout>
                <c:manualLayout>
                  <c:x val="0.0703996619007669"/>
                  <c:y val="0.00208852650141881"/>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1" vertOverflow="ellipsis" horzOverflow="overflow" vert="horz" wrap="square" lIns="38100" tIns="19050" rIns="38100" bIns="19050" anchor="ctr" anchorCtr="1">
                <a:spAutoFit/>
              </a:bodyPr>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noFill/>
                    <a:ln w="9525" cap="flat" cmpd="sng" algn="ctr">
                      <a:solidFill>
                        <a:schemeClr val="tx1">
                          <a:lumMod val="35000"/>
                          <a:lumOff val="65000"/>
                        </a:schemeClr>
                      </a:solidFill>
                      <a:prstDash val="solid"/>
                      <a:round/>
                    </a:ln>
                    <a:effectLst/>
                  </c:spPr>
                </c15:leaderLines>
              </c:ext>
            </c:extLst>
          </c:dLbls>
          <c:cat>
            <c:strRef>
              <c:f>[柱状图标.xlsx]五指山!$J$52:$M$52</c:f>
              <c:strCache>
                <c:ptCount val="4"/>
                <c:pt idx="0">
                  <c:v>住宅</c:v>
                </c:pt>
                <c:pt idx="1">
                  <c:v>办公楼</c:v>
                </c:pt>
                <c:pt idx="2">
                  <c:v>商业营业用房</c:v>
                </c:pt>
                <c:pt idx="3">
                  <c:v>其他用房</c:v>
                </c:pt>
              </c:strCache>
            </c:strRef>
          </c:cat>
          <c:val>
            <c:numRef>
              <c:f>[柱状图标.xlsx]五指山!$J$60:$M$60</c:f>
              <c:numCache>
                <c:formatCode>0.00%</c:formatCode>
                <c:ptCount val="4"/>
                <c:pt idx="0">
                  <c:v>0.842605633802817</c:v>
                </c:pt>
                <c:pt idx="1">
                  <c:v>0</c:v>
                </c:pt>
                <c:pt idx="2">
                  <c:v>0.157394366197183</c:v>
                </c:pt>
                <c:pt idx="3">
                  <c:v>0</c:v>
                </c:pt>
              </c:numCache>
            </c:numRef>
          </c:val>
        </c:ser>
        <c:dLbls>
          <c:dLblPos val="bestFit"/>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1"/>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2"/>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3"/>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ayout/>
      <c:overlay val="0"/>
      <c:spPr>
        <a:noFill/>
        <a:ln>
          <a:noFill/>
        </a:ln>
        <a:effectLst/>
      </c:spPr>
      <c:txPr>
        <a:bodyPr rot="0" spcFirstLastPara="1"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rot="0" spcFirstLastPara="0" vertOverflow="ellipsis" horzOverflow="overflow" vert="horz" wrap="square" anchor="ctr" anchorCtr="1"/>
    <a:lstStyle/>
    <a:p>
      <a:pPr>
        <a:defRPr lang="zh-CN">
          <a:solidFill>
            <a:sysClr val="windowText" lastClr="000000"/>
          </a:solidFill>
          <a:latin typeface="仿宋" pitchFamily="3" charset="-122"/>
          <a:ea typeface="仿宋" pitchFamily="3" charset="-122"/>
          <a:cs typeface="仿宋" pitchFamily="3" charset="-122"/>
          <a:sym typeface="仿宋"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固定资产投资</c:v>
                </c:pt>
              </c:strCache>
            </c:strRef>
          </c:tx>
          <c:spPr>
            <a:solidFill>
              <a:schemeClr val="accent1"/>
            </a:solidFill>
            <a:ln>
              <a:noFill/>
            </a:ln>
            <a:effectLst/>
          </c:spPr>
          <c:invertIfNegative val="0"/>
          <c:dLbls>
            <c:numFmt formatCode="General" sourceLinked="1"/>
            <c:spPr>
              <a:noFill/>
              <a:ln>
                <a:noFill/>
              </a:ln>
              <a:effectLst/>
            </c:spPr>
            <c:txPr>
              <a:bodyPr rot="0" spcFirstLastPara="1" vertOverflow="ellipsis"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2011年</c:v>
                </c:pt>
                <c:pt idx="1">
                  <c:v>2012年</c:v>
                </c:pt>
                <c:pt idx="2">
                  <c:v>2013年</c:v>
                </c:pt>
                <c:pt idx="3">
                  <c:v>2014年</c:v>
                </c:pt>
                <c:pt idx="4">
                  <c:v>2015年</c:v>
                </c:pt>
                <c:pt idx="5">
                  <c:v>2016年</c:v>
                </c:pt>
                <c:pt idx="6">
                  <c:v>2017年</c:v>
                </c:pt>
              </c:strCache>
            </c:strRef>
          </c:cat>
          <c:val>
            <c:numRef>
              <c:f>Sheet1!$B$2:$B$8</c:f>
              <c:numCache>
                <c:formatCode>General</c:formatCode>
                <c:ptCount val="7"/>
                <c:pt idx="0" c:formatCode="General">
                  <c:v>167227</c:v>
                </c:pt>
                <c:pt idx="1" c:formatCode="General">
                  <c:v>215840</c:v>
                </c:pt>
                <c:pt idx="2" c:formatCode="General">
                  <c:v>284335</c:v>
                </c:pt>
                <c:pt idx="3" c:formatCode="General">
                  <c:v>309847</c:v>
                </c:pt>
                <c:pt idx="4" c:formatCode="General">
                  <c:v>338963</c:v>
                </c:pt>
                <c:pt idx="5" c:formatCode="General">
                  <c:v>319466</c:v>
                </c:pt>
                <c:pt idx="6" c:formatCode="General">
                  <c:v>286984</c:v>
                </c:pt>
              </c:numCache>
            </c:numRef>
          </c:val>
        </c:ser>
        <c:ser>
          <c:idx val="1"/>
          <c:order val="1"/>
          <c:tx>
            <c:strRef>
              <c:f>Sheet1!$C$1</c:f>
              <c:strCache>
                <c:ptCount val="1"/>
                <c:pt idx="0">
                  <c:v>其中房地产投资</c:v>
                </c:pt>
              </c:strCache>
            </c:strRef>
          </c:tx>
          <c:spPr>
            <a:solidFill>
              <a:schemeClr val="accent2"/>
            </a:solidFill>
            <a:ln>
              <a:noFill/>
            </a:ln>
            <a:effectLst/>
          </c:spPr>
          <c:invertIfNegative val="0"/>
          <c:dLbls>
            <c:numFmt formatCode="General" sourceLinked="1"/>
            <c:spPr>
              <a:noFill/>
              <a:ln>
                <a:noFill/>
              </a:ln>
              <a:effectLst/>
            </c:spPr>
            <c:txPr>
              <a:bodyPr rot="0" spcFirstLastPara="1" vertOverflow="ellipsis"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2011年</c:v>
                </c:pt>
                <c:pt idx="1">
                  <c:v>2012年</c:v>
                </c:pt>
                <c:pt idx="2">
                  <c:v>2013年</c:v>
                </c:pt>
                <c:pt idx="3">
                  <c:v>2014年</c:v>
                </c:pt>
                <c:pt idx="4">
                  <c:v>2015年</c:v>
                </c:pt>
                <c:pt idx="5">
                  <c:v>2016年</c:v>
                </c:pt>
                <c:pt idx="6">
                  <c:v>2017年</c:v>
                </c:pt>
              </c:strCache>
            </c:strRef>
          </c:cat>
          <c:val>
            <c:numRef>
              <c:f>Sheet1!$C$2:$C$8</c:f>
              <c:numCache>
                <c:formatCode>General</c:formatCode>
                <c:ptCount val="7"/>
                <c:pt idx="0" c:formatCode="General">
                  <c:v>84486</c:v>
                </c:pt>
                <c:pt idx="1" c:formatCode="General">
                  <c:v>88078</c:v>
                </c:pt>
                <c:pt idx="2" c:formatCode="General">
                  <c:v>127923</c:v>
                </c:pt>
                <c:pt idx="3" c:formatCode="General">
                  <c:v>155426</c:v>
                </c:pt>
                <c:pt idx="4" c:formatCode="General">
                  <c:v>133429</c:v>
                </c:pt>
                <c:pt idx="5" c:formatCode="General">
                  <c:v>126367</c:v>
                </c:pt>
                <c:pt idx="6" c:formatCode="General">
                  <c:v>131980</c:v>
                </c:pt>
              </c:numCache>
            </c:numRef>
          </c:val>
        </c:ser>
        <c:dLbls>
          <c:dLblPos val="outEnd"/>
          <c:showLegendKey val="0"/>
          <c:showVal val="1"/>
          <c:showCatName val="0"/>
          <c:showSerName val="0"/>
          <c:showPercent val="0"/>
          <c:showBubbleSize val="0"/>
        </c:dLbls>
        <c:gapWidth val="219"/>
        <c:overlap val="-27"/>
        <c:axId val="222246400"/>
        <c:axId val="222246960"/>
      </c:barChart>
      <c:catAx>
        <c:axId val="2222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vert="horz" wrap="square" anchor="ctr" anchorCtr="1"/>
          <a:lstStyle/>
          <a:p>
            <a:pPr>
              <a:defRPr sz="900" b="0" i="0" u="none" strike="noStrike" kern="1200" baseline="0">
                <a:solidFill>
                  <a:schemeClr val="tx1">
                    <a:lumMod val="65000"/>
                    <a:lumOff val="35000"/>
                  </a:schemeClr>
                </a:solidFill>
                <a:latin typeface="+mn-lt"/>
                <a:ea typeface="+mn-ea"/>
                <a:cs typeface="+mn-cs"/>
              </a:defRPr>
            </a:pPr>
          </a:p>
        </c:txPr>
        <c:crossAx val="222246960"/>
        <c:crosses val="autoZero"/>
        <c:auto val="1"/>
        <c:lblAlgn val="ctr"/>
        <c:lblOffset val="100"/>
        <c:tickMarkSkip val="1"/>
        <c:noMultiLvlLbl val="0"/>
      </c:catAx>
      <c:valAx>
        <c:axId val="222246960"/>
        <c:scaling>
          <c:orientation val="minMax"/>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vert="horz" wrap="square" anchor="ctr" anchorCtr="1"/>
          <a:lstStyle/>
          <a:p>
            <a:pPr>
              <a:defRPr sz="900" b="0" i="0" u="none" strike="noStrike" kern="1200" baseline="0">
                <a:solidFill>
                  <a:schemeClr val="tx1">
                    <a:lumMod val="65000"/>
                    <a:lumOff val="35000"/>
                  </a:schemeClr>
                </a:solidFill>
                <a:latin typeface="+mn-lt"/>
                <a:ea typeface="+mn-ea"/>
                <a:cs typeface="+mn-cs"/>
              </a:defRPr>
            </a:pPr>
          </a:p>
        </c:txPr>
        <c:crossAx val="222246400"/>
        <c:crosses val="autoZero"/>
        <c:crossBetween val="between"/>
      </c:valAx>
      <c:spPr>
        <a:noFill/>
        <a:ln>
          <a:noFill/>
        </a:ln>
        <a:effectLst/>
      </c:spPr>
    </c:plotArea>
    <c:legend>
      <c:legendPos val="b"/>
      <c:layout/>
      <c:overlay val="0"/>
      <c:spPr>
        <a:noFill/>
        <a:ln>
          <a:noFill/>
        </a:ln>
        <a:effectLst/>
      </c:spPr>
      <c:txPr>
        <a:bodyPr rot="0" spcFirstLastPara="1" vertOverflow="ellipsis" horzOverflow="overflow" vert="horz" wrap="square" anchor="ctr" anchorCtr="1"/>
        <a:lstStyle/>
        <a:p>
          <a:pPr>
            <a:defRPr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建筑业从业人数</c:v>
                </c:pt>
              </c:strCache>
            </c:strRef>
          </c:tx>
          <c:spPr>
            <a:solidFill>
              <a:schemeClr val="accent1"/>
            </a:solidFill>
            <a:ln>
              <a:noFill/>
            </a:ln>
            <a:effectLst/>
          </c:spPr>
          <c:invertIfNegative val="0"/>
          <c:dLbls>
            <c:numFmt formatCode="General" sourceLinked="1"/>
            <c:spPr>
              <a:noFill/>
              <a:ln>
                <a:noFill/>
              </a:ln>
              <a:effectLst/>
            </c:spPr>
            <c:txPr>
              <a:bodyPr rot="0" spcFirstLastPara="1" vertOverflow="ellipsis"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2011年</c:v>
                </c:pt>
                <c:pt idx="1">
                  <c:v>2012年</c:v>
                </c:pt>
                <c:pt idx="2">
                  <c:v>2013年</c:v>
                </c:pt>
                <c:pt idx="3">
                  <c:v>2014年</c:v>
                </c:pt>
                <c:pt idx="4">
                  <c:v>2015年</c:v>
                </c:pt>
                <c:pt idx="5">
                  <c:v>2016年</c:v>
                </c:pt>
                <c:pt idx="6">
                  <c:v>2017年</c:v>
                </c:pt>
              </c:strCache>
            </c:strRef>
          </c:cat>
          <c:val>
            <c:numRef>
              <c:f>Sheet1!$B$2:$B$8</c:f>
              <c:numCache>
                <c:formatCode>General</c:formatCode>
                <c:ptCount val="7"/>
                <c:pt idx="0" c:formatCode="General">
                  <c:v>14</c:v>
                </c:pt>
                <c:pt idx="1" c:formatCode="General">
                  <c:v>1557</c:v>
                </c:pt>
                <c:pt idx="2" c:formatCode="General">
                  <c:v>1708</c:v>
                </c:pt>
                <c:pt idx="3" c:formatCode="General">
                  <c:v>1716</c:v>
                </c:pt>
                <c:pt idx="4" c:formatCode="General">
                  <c:v>1916</c:v>
                </c:pt>
                <c:pt idx="5" c:formatCode="General">
                  <c:v>1973</c:v>
                </c:pt>
                <c:pt idx="6" c:formatCode="General">
                  <c:v>1582</c:v>
                </c:pt>
              </c:numCache>
            </c:numRef>
          </c:val>
        </c:ser>
        <c:ser>
          <c:idx val="1"/>
          <c:order val="1"/>
          <c:tx>
            <c:strRef>
              <c:f>Sheet1!$C$1</c:f>
              <c:strCache>
                <c:ptCount val="1"/>
                <c:pt idx="0">
                  <c:v>房地产业从业人数</c:v>
                </c:pt>
              </c:strCache>
            </c:strRef>
          </c:tx>
          <c:spPr>
            <a:solidFill>
              <a:schemeClr val="accent2"/>
            </a:solidFill>
            <a:ln>
              <a:noFill/>
            </a:ln>
            <a:effectLst/>
          </c:spPr>
          <c:invertIfNegative val="0"/>
          <c:dLbls>
            <c:numFmt formatCode="General" sourceLinked="1"/>
            <c:spPr>
              <a:noFill/>
              <a:ln>
                <a:noFill/>
              </a:ln>
              <a:effectLst/>
            </c:spPr>
            <c:txPr>
              <a:bodyPr rot="0" spcFirstLastPara="1" vertOverflow="ellipsis"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2011年</c:v>
                </c:pt>
                <c:pt idx="1">
                  <c:v>2012年</c:v>
                </c:pt>
                <c:pt idx="2">
                  <c:v>2013年</c:v>
                </c:pt>
                <c:pt idx="3">
                  <c:v>2014年</c:v>
                </c:pt>
                <c:pt idx="4">
                  <c:v>2015年</c:v>
                </c:pt>
                <c:pt idx="5">
                  <c:v>2016年</c:v>
                </c:pt>
                <c:pt idx="6">
                  <c:v>2017年</c:v>
                </c:pt>
              </c:strCache>
            </c:strRef>
          </c:cat>
          <c:val>
            <c:numRef>
              <c:f>Sheet1!$C$2:$C$8</c:f>
              <c:numCache>
                <c:formatCode>General</c:formatCode>
                <c:ptCount val="7"/>
                <c:pt idx="0" c:formatCode="General">
                  <c:v>573</c:v>
                </c:pt>
                <c:pt idx="1" c:formatCode="General">
                  <c:v>2008</c:v>
                </c:pt>
                <c:pt idx="2" c:formatCode="General">
                  <c:v>2126</c:v>
                </c:pt>
                <c:pt idx="3" c:formatCode="General">
                  <c:v>2058</c:v>
                </c:pt>
                <c:pt idx="4" c:formatCode="General">
                  <c:v>2234</c:v>
                </c:pt>
                <c:pt idx="5" c:formatCode="General">
                  <c:v>2040</c:v>
                </c:pt>
                <c:pt idx="6" c:formatCode="General">
                  <c:v>2377</c:v>
                </c:pt>
              </c:numCache>
            </c:numRef>
          </c:val>
        </c:ser>
        <c:dLbls>
          <c:dLblPos val="outEnd"/>
          <c:showLegendKey val="0"/>
          <c:showVal val="1"/>
          <c:showCatName val="0"/>
          <c:showSerName val="0"/>
          <c:showPercent val="0"/>
          <c:showBubbleSize val="0"/>
        </c:dLbls>
        <c:gapWidth val="219"/>
        <c:overlap val="-27"/>
        <c:axId val="222253120"/>
        <c:axId val="222253680"/>
      </c:barChart>
      <c:catAx>
        <c:axId val="22225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vert="horz" wrap="square" anchor="ctr" anchorCtr="1"/>
          <a:lstStyle/>
          <a:p>
            <a:pPr>
              <a:defRPr sz="900" b="0" i="0" u="none" strike="noStrike" kern="1200" baseline="0">
                <a:solidFill>
                  <a:schemeClr val="tx1">
                    <a:lumMod val="65000"/>
                    <a:lumOff val="35000"/>
                  </a:schemeClr>
                </a:solidFill>
                <a:latin typeface="+mn-lt"/>
                <a:ea typeface="+mn-ea"/>
                <a:cs typeface="+mn-cs"/>
              </a:defRPr>
            </a:pPr>
          </a:p>
        </c:txPr>
        <c:crossAx val="222253680"/>
        <c:crosses val="autoZero"/>
        <c:auto val="1"/>
        <c:lblAlgn val="ctr"/>
        <c:lblOffset val="100"/>
        <c:tickMarkSkip val="1"/>
        <c:noMultiLvlLbl val="0"/>
      </c:catAx>
      <c:valAx>
        <c:axId val="222253680"/>
        <c:scaling>
          <c:orientation val="minMax"/>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vert="horz" wrap="square" anchor="ctr" anchorCtr="1"/>
          <a:lstStyle/>
          <a:p>
            <a:pPr>
              <a:defRPr sz="900" b="0" i="0" u="none" strike="noStrike" kern="1200" baseline="0">
                <a:solidFill>
                  <a:schemeClr val="tx1">
                    <a:lumMod val="65000"/>
                    <a:lumOff val="35000"/>
                  </a:schemeClr>
                </a:solidFill>
                <a:latin typeface="+mn-lt"/>
                <a:ea typeface="+mn-ea"/>
                <a:cs typeface="+mn-cs"/>
              </a:defRPr>
            </a:pPr>
          </a:p>
        </c:txPr>
        <c:crossAx val="222253120"/>
        <c:crosses val="autoZero"/>
        <c:crossBetween val="between"/>
      </c:valAx>
      <c:spPr>
        <a:noFill/>
        <a:ln>
          <a:noFill/>
        </a:ln>
        <a:effectLst/>
      </c:spPr>
    </c:plotArea>
    <c:legend>
      <c:legendPos val="b"/>
      <c:layout/>
      <c:overlay val="0"/>
      <c:spPr>
        <a:noFill/>
        <a:ln>
          <a:noFill/>
        </a:ln>
        <a:effectLst/>
      </c:spPr>
      <c:txPr>
        <a:bodyPr rot="0" spcFirstLastPara="1" vertOverflow="ellipsis" horzOverflow="overflow" vert="horz" wrap="square" anchor="ctr" anchorCtr="1"/>
        <a:lstStyle/>
        <a:p>
          <a:pPr>
            <a:defRPr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defTabSz="914400">
              <a:defRPr lang="zh-CN" sz="1080" b="0" i="0" u="none" strike="noStrike" kern="1200" spc="0" baseline="0">
                <a:solidFill>
                  <a:sysClr val="windowText" lastClr="000000"/>
                </a:solidFill>
                <a:latin typeface="仿宋" pitchFamily="3" charset="-122"/>
                <a:ea typeface="仿宋" pitchFamily="3" charset="-122"/>
                <a:cs typeface="仿宋" pitchFamily="3" charset="-122"/>
                <a:sym typeface="仿宋" pitchFamily="3" charset="-122"/>
              </a:defRPr>
            </a:pPr>
            <a:r>
              <a:rPr lang="zh-CN" altLang="en-US" sz="1080">
                <a:solidFill>
                  <a:sysClr val="windowText" lastClr="000000"/>
                </a:solidFill>
                <a:latin typeface="仿宋" pitchFamily="3" charset="-122"/>
                <a:ea typeface="仿宋" pitchFamily="3" charset="-122"/>
                <a:cs typeface="仿宋" pitchFamily="3" charset="-122"/>
                <a:sym typeface="仿宋" pitchFamily="3" charset="-122"/>
              </a:rPr>
              <a:t>房屋新开工面积（万平方米）</a:t>
            </a:r>
            <a:endParaRPr lang="zh-CN" altLang="en-US" sz="1080">
              <a:solidFill>
                <a:sysClr val="windowText" lastClr="000000"/>
              </a:solidFill>
              <a:latin typeface="仿宋" pitchFamily="3" charset="-122"/>
              <a:ea typeface="仿宋" pitchFamily="3" charset="-122"/>
              <a:cs typeface="仿宋" pitchFamily="3" charset="-122"/>
              <a:sym typeface="仿宋" pitchFamily="3" charset="-122"/>
            </a:endParaRPr>
          </a:p>
        </c:rich>
      </c:tx>
      <c:layout/>
      <c:overlay val="0"/>
      <c:spPr>
        <a:noFill/>
        <a:ln>
          <a:noFill/>
        </a:ln>
        <a:effectLst/>
      </c:spPr>
    </c:title>
    <c:autoTitleDeleted val="0"/>
    <c:plotArea>
      <c:layout/>
      <c:barChart>
        <c:barDir val="col"/>
        <c:grouping val="clustered"/>
        <c:varyColors val="0"/>
        <c:ser>
          <c:idx val="0"/>
          <c:order val="0"/>
          <c:tx>
            <c:strRef>
              <c:f>[柱状图标.xlsx]五指山!$B$52</c:f>
              <c:strCache>
                <c:ptCount val="1"/>
                <c:pt idx="0">
                  <c:v>房屋新开工面积</c:v>
                </c:pt>
              </c:strCache>
            </c:strRef>
          </c:tx>
          <c:spPr>
            <a:solidFill>
              <a:schemeClr val="accent1"/>
            </a:solidFill>
            <a:ln>
              <a:noFill/>
            </a:ln>
            <a:effectLst/>
          </c:spPr>
          <c:invertIfNegative val="0"/>
          <c:dLbls>
            <c:numFmt formatCode="General" sourceLinked="1"/>
            <c:spPr>
              <a:noFill/>
              <a:ln>
                <a:noFill/>
              </a:ln>
              <a:effectLst/>
            </c:spPr>
            <c:txPr>
              <a:bodyPr rot="0" spcFirstLastPara="1" vertOverflow="ellipsis" horzOverflow="overflow" vert="horz" wrap="square" lIns="38100" tIns="19050" rIns="38100" bIns="19050" anchor="ctr" anchorCtr="1">
                <a:spAutoFit/>
              </a:bodyPr>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noFill/>
                    <a:ln w="9525" cap="flat" cmpd="sng" algn="ctr">
                      <a:solidFill>
                        <a:schemeClr val="tx1">
                          <a:lumMod val="35000"/>
                          <a:lumOff val="65000"/>
                        </a:schemeClr>
                      </a:solidFill>
                      <a:prstDash val="solid"/>
                      <a:round/>
                    </a:ln>
                    <a:effectLst/>
                  </c:spPr>
                </c15:leaderLines>
              </c:ext>
            </c:extLst>
          </c:dLbls>
          <c:cat>
            <c:strRef>
              <c:f>[柱状图标.xlsx]五指山!$A$53:$A$60</c:f>
              <c:strCache>
                <c:ptCount val="8"/>
                <c:pt idx="0">
                  <c:v>2009年</c:v>
                </c:pt>
                <c:pt idx="1">
                  <c:v>2010年</c:v>
                </c:pt>
                <c:pt idx="2">
                  <c:v>2011年</c:v>
                </c:pt>
                <c:pt idx="3">
                  <c:v>2012年</c:v>
                </c:pt>
                <c:pt idx="4">
                  <c:v>2013年</c:v>
                </c:pt>
                <c:pt idx="5">
                  <c:v>2014年</c:v>
                </c:pt>
                <c:pt idx="6">
                  <c:v>2015年</c:v>
                </c:pt>
                <c:pt idx="7">
                  <c:v>2016年</c:v>
                </c:pt>
              </c:strCache>
            </c:strRef>
          </c:cat>
          <c:val>
            <c:numRef>
              <c:f>[柱状图标.xlsx]五指山!$B$53:$B$60</c:f>
              <c:numCache>
                <c:formatCode>General</c:formatCode>
                <c:ptCount val="8"/>
                <c:pt idx="0" c:formatCode="General">
                  <c:v>25.06</c:v>
                </c:pt>
                <c:pt idx="1" c:formatCode="General">
                  <c:v>24.65</c:v>
                </c:pt>
                <c:pt idx="2" c:formatCode="General">
                  <c:v>51.02</c:v>
                </c:pt>
                <c:pt idx="3" c:formatCode="General">
                  <c:v>27.09</c:v>
                </c:pt>
                <c:pt idx="4" c:formatCode="General">
                  <c:v>30.24</c:v>
                </c:pt>
                <c:pt idx="5" c:formatCode="General">
                  <c:v>29.88</c:v>
                </c:pt>
                <c:pt idx="6" c:formatCode="General">
                  <c:v>31.58</c:v>
                </c:pt>
                <c:pt idx="7" c:formatCode="General">
                  <c:v>28.4</c:v>
                </c:pt>
              </c:numCache>
            </c:numRef>
          </c:val>
        </c:ser>
        <c:dLbls>
          <c:dLblPos val="outEnd"/>
          <c:showLegendKey val="0"/>
          <c:showVal val="1"/>
          <c:showCatName val="0"/>
          <c:showSerName val="0"/>
          <c:showPercent val="0"/>
          <c:showBubbleSize val="0"/>
        </c:dLbls>
        <c:gapWidth val="219"/>
        <c:overlap val="-27"/>
        <c:axId val="222255920"/>
        <c:axId val="222256480"/>
      </c:barChart>
      <c:catAx>
        <c:axId val="2222559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crossAx val="222256480"/>
        <c:crosses val="autoZero"/>
        <c:auto val="1"/>
        <c:lblAlgn val="ctr"/>
        <c:lblOffset val="100"/>
        <c:tickMarkSkip val="1"/>
        <c:noMultiLvlLbl val="0"/>
      </c:catAx>
      <c:valAx>
        <c:axId val="222256480"/>
        <c:scaling>
          <c:orientation val="minMax"/>
        </c:scaling>
        <c:delete val="0"/>
        <c:axPos val="l"/>
        <c:majorGridlines>
          <c:spPr>
            <a:noFill/>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crossAx val="22225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rot="0" spcFirstLastPara="0" vertOverflow="ellipsis" horzOverflow="overflow" vert="horz" wrap="square" anchor="ctr" anchorCtr="1"/>
    <a:lstStyle/>
    <a:p>
      <a:pPr>
        <a:defRPr lang="zh-CN" sz="900">
          <a:solidFill>
            <a:sysClr val="windowText" lastClr="000000"/>
          </a:solidFill>
          <a:latin typeface="仿宋" pitchFamily="3" charset="-122"/>
          <a:ea typeface="仿宋" pitchFamily="3" charset="-122"/>
          <a:cs typeface="仿宋" pitchFamily="3" charset="-122"/>
          <a:sym typeface="仿宋" pitchFamily="3"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horzOverflow="overflow" vert="horz" wrap="square" anchor="ctr" anchorCtr="1"/>
        <a:lstStyle/>
        <a:p>
          <a:pPr>
            <a:defRPr lang="zh-CN" sz="900" b="0" i="0" u="none" strike="noStrike" kern="1200" spc="0" baseline="0">
              <a:solidFill>
                <a:sysClr val="windowText" lastClr="000000"/>
              </a:solidFill>
              <a:latin typeface="仿宋" pitchFamily="3" charset="-122"/>
              <a:ea typeface="仿宋" pitchFamily="3" charset="-122"/>
              <a:cs typeface="仿宋" pitchFamily="3" charset="-122"/>
              <a:sym typeface="仿宋" pitchFamily="3" charset="-122"/>
            </a:defRPr>
          </a:pPr>
        </a:p>
      </c:txPr>
    </c:title>
    <c:autoTitleDeleted val="0"/>
    <c:plotArea>
      <c:layout/>
      <c:pieChart>
        <c:varyColors val="1"/>
        <c:ser>
          <c:idx val="0"/>
          <c:order val="0"/>
          <c:tx>
            <c:strRef>
              <c:f>[柱状图标.xlsx]五指山!$I$53</c:f>
              <c:strCache>
                <c:ptCount val="1"/>
                <c:pt idx="0">
                  <c:v>2009年</c:v>
                </c:pt>
              </c:strCache>
            </c:strRef>
          </c:tx>
          <c:spPr>
            <a:effectLst/>
          </c:spPr>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884183292274138"/>
                  <c:y val="-0.214576345300641"/>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manualLayout>
                      <c:w val="0.240613266583229"/>
                      <c:h val="0.144493392070485"/>
                    </c:manualLayout>
                  </c15:layout>
                </c:ext>
              </c:extLst>
            </c:dLbl>
            <c:dLbl>
              <c:idx val="1"/>
              <c:layout>
                <c:manualLayout>
                  <c:x val="-0.0402579778731648"/>
                  <c:y val="0.0274452338178678"/>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18262039992331"/>
                  <c:y val="0.0150698410712926"/>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manualLayout>
                      <c:w val="0.247496871088861"/>
                      <c:h val="0.104258443465492"/>
                    </c:manualLayout>
                  </c15:layout>
                </c:ext>
              </c:extLst>
            </c:dLbl>
            <c:dLbl>
              <c:idx val="3"/>
              <c:layout>
                <c:manualLayout>
                  <c:x val="0.0867041311454193"/>
                  <c:y val="0.00182429599043889"/>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1" vertOverflow="ellipsis" horzOverflow="overflow" vert="horz" wrap="square" lIns="38100" tIns="19050" rIns="38100" bIns="19050" anchor="ctr" anchorCtr="1">
                <a:spAutoFit/>
              </a:bodyPr>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noFill/>
                    <a:ln w="9525" cap="flat" cmpd="sng" algn="ctr">
                      <a:solidFill>
                        <a:schemeClr val="tx1">
                          <a:lumMod val="35000"/>
                          <a:lumOff val="65000"/>
                        </a:schemeClr>
                      </a:solidFill>
                      <a:prstDash val="solid"/>
                      <a:round/>
                    </a:ln>
                    <a:effectLst/>
                  </c:spPr>
                </c15:leaderLines>
              </c:ext>
            </c:extLst>
          </c:dLbls>
          <c:cat>
            <c:strRef>
              <c:f>[柱状图标.xlsx]五指山!$J$52:$M$52</c:f>
              <c:strCache>
                <c:ptCount val="4"/>
                <c:pt idx="0">
                  <c:v>住宅</c:v>
                </c:pt>
                <c:pt idx="1">
                  <c:v>办公楼</c:v>
                </c:pt>
                <c:pt idx="2">
                  <c:v>商业营业用房</c:v>
                </c:pt>
                <c:pt idx="3">
                  <c:v>其他用房</c:v>
                </c:pt>
              </c:strCache>
            </c:strRef>
          </c:cat>
          <c:val>
            <c:numRef>
              <c:f>[柱状图标.xlsx]五指山!$J$53:$M$53</c:f>
              <c:numCache>
                <c:formatCode>0.00%</c:formatCode>
                <c:ptCount val="4"/>
                <c:pt idx="0">
                  <c:v>0.883878691141261</c:v>
                </c:pt>
                <c:pt idx="1">
                  <c:v>0</c:v>
                </c:pt>
                <c:pt idx="2">
                  <c:v>0.105746209098164</c:v>
                </c:pt>
                <c:pt idx="3">
                  <c:v>0.0103750997605746</c:v>
                </c:pt>
              </c:numCache>
            </c:numRef>
          </c:val>
        </c:ser>
        <c:dLbls>
          <c:dLblPos val="bestFit"/>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1"/>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2"/>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3"/>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ayout/>
      <c:overlay val="0"/>
      <c:spPr>
        <a:noFill/>
        <a:ln>
          <a:noFill/>
        </a:ln>
        <a:effectLst/>
      </c:spPr>
      <c:txPr>
        <a:bodyPr rot="0" spcFirstLastPara="1"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rot="0" spcFirstLastPara="0" vertOverflow="ellipsis" horzOverflow="overflow" vert="horz" wrap="square" anchor="ctr" anchorCtr="1"/>
    <a:lstStyle/>
    <a:p>
      <a:pPr>
        <a:defRPr lang="zh-CN">
          <a:solidFill>
            <a:sysClr val="windowText" lastClr="000000"/>
          </a:solidFill>
          <a:latin typeface="仿宋" pitchFamily="3" charset="-122"/>
          <a:ea typeface="仿宋" pitchFamily="3" charset="-122"/>
          <a:cs typeface="仿宋" pitchFamily="3" charset="-122"/>
          <a:sym typeface="仿宋" pitchFamily="3"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54414527238572"/>
          <c:y val="0.0350672121566335"/>
        </c:manualLayout>
      </c:layout>
      <c:overlay val="0"/>
      <c:spPr>
        <a:noFill/>
        <a:ln>
          <a:noFill/>
        </a:ln>
        <a:effectLst/>
      </c:spPr>
      <c:txPr>
        <a:bodyPr rot="0" spcFirstLastPara="0" vertOverflow="ellipsis" horzOverflow="overflow" vert="horz" wrap="square" anchor="ctr" anchorCtr="1"/>
        <a:lstStyle/>
        <a:p>
          <a:pPr>
            <a:defRPr lang="zh-CN" sz="900" b="0" i="0" u="none" strike="noStrike" kern="1200" spc="0" baseline="0">
              <a:solidFill>
                <a:sysClr val="windowText" lastClr="000000"/>
              </a:solidFill>
              <a:latin typeface="仿宋" pitchFamily="3" charset="-122"/>
              <a:ea typeface="仿宋" pitchFamily="3" charset="-122"/>
              <a:cs typeface="仿宋" pitchFamily="3" charset="-122"/>
              <a:sym typeface="仿宋" pitchFamily="3" charset="-122"/>
            </a:defRPr>
          </a:pPr>
        </a:p>
      </c:txPr>
    </c:title>
    <c:autoTitleDeleted val="0"/>
    <c:plotArea>
      <c:layout/>
      <c:pieChart>
        <c:varyColors val="1"/>
        <c:ser>
          <c:idx val="0"/>
          <c:order val="0"/>
          <c:tx>
            <c:strRef>
              <c:f>[柱状图标.xlsx]五指山!$I$54</c:f>
              <c:strCache>
                <c:ptCount val="1"/>
                <c:pt idx="0">
                  <c:v>2010年</c:v>
                </c:pt>
              </c:strCache>
            </c:strRef>
          </c:tx>
          <c:spPr>
            <a:effectLst/>
          </c:spPr>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516593613024421"/>
                  <c:y val="-0.197253068381064"/>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manualLayout>
                      <c:w val="0.266437069505322"/>
                      <c:h val="0.143775569842198"/>
                    </c:manualLayout>
                  </c15:layout>
                </c:ext>
              </c:extLst>
            </c:dLbl>
            <c:dLbl>
              <c:idx val="1"/>
              <c:layout>
                <c:manualLayout>
                  <c:x val="-0.0989185570790016"/>
                  <c:y val="0.0586094669405506"/>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48447880371563"/>
                  <c:y val="0.028093092328098"/>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1" vertOverflow="ellipsis" horzOverflow="overflow" vert="horz" wrap="square" lIns="38100" tIns="19050" rIns="38100" bIns="19050" anchor="ctr" anchorCtr="1">
                <a:spAutoFit/>
              </a:bodyPr>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noFill/>
                    <a:ln w="9525" cap="flat" cmpd="sng" algn="ctr">
                      <a:solidFill>
                        <a:schemeClr val="tx1">
                          <a:lumMod val="35000"/>
                          <a:lumOff val="65000"/>
                        </a:schemeClr>
                      </a:solidFill>
                      <a:prstDash val="solid"/>
                      <a:round/>
                    </a:ln>
                    <a:effectLst/>
                  </c:spPr>
                </c15:leaderLines>
              </c:ext>
            </c:extLst>
          </c:dLbls>
          <c:cat>
            <c:strRef>
              <c:f>[柱状图标.xlsx]五指山!$J$52:$M$52</c:f>
              <c:strCache>
                <c:ptCount val="4"/>
                <c:pt idx="0">
                  <c:v>住宅</c:v>
                </c:pt>
                <c:pt idx="1">
                  <c:v>办公楼</c:v>
                </c:pt>
                <c:pt idx="2">
                  <c:v>商业营业用房</c:v>
                </c:pt>
                <c:pt idx="3">
                  <c:v>其他用房</c:v>
                </c:pt>
              </c:strCache>
            </c:strRef>
          </c:cat>
          <c:val>
            <c:numRef>
              <c:f>[柱状图标.xlsx]五指山!$J$54:$M$54</c:f>
              <c:numCache>
                <c:formatCode>0.00%</c:formatCode>
                <c:ptCount val="4"/>
                <c:pt idx="0">
                  <c:v>0.944421906693712</c:v>
                </c:pt>
                <c:pt idx="1">
                  <c:v>0</c:v>
                </c:pt>
                <c:pt idx="2">
                  <c:v>0.0162271805273834</c:v>
                </c:pt>
                <c:pt idx="3">
                  <c:v>0.0393509127789047</c:v>
                </c:pt>
              </c:numCache>
            </c:numRef>
          </c:val>
        </c:ser>
        <c:dLbls>
          <c:dLblPos val="bestFit"/>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1"/>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2"/>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3"/>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ayout/>
      <c:overlay val="0"/>
      <c:spPr>
        <a:noFill/>
        <a:ln>
          <a:noFill/>
        </a:ln>
        <a:effectLst/>
      </c:spPr>
      <c:txPr>
        <a:bodyPr rot="0" spcFirstLastPara="1"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rot="0" spcFirstLastPara="0" vertOverflow="ellipsis" horzOverflow="overflow" vert="horz" wrap="square" anchor="ctr" anchorCtr="1"/>
    <a:lstStyle/>
    <a:p>
      <a:pPr>
        <a:defRPr lang="zh-CN">
          <a:solidFill>
            <a:sysClr val="windowText" lastClr="000000"/>
          </a:solidFill>
          <a:latin typeface="仿宋" pitchFamily="3" charset="-122"/>
          <a:ea typeface="仿宋" pitchFamily="3" charset="-122"/>
          <a:cs typeface="仿宋" pitchFamily="3" charset="-122"/>
          <a:sym typeface="仿宋" pitchFamily="3"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horzOverflow="overflow" vert="horz" wrap="square" anchor="ctr" anchorCtr="1"/>
        <a:lstStyle/>
        <a:p>
          <a:pPr>
            <a:defRPr lang="zh-CN" sz="900" b="0" i="0" u="none" strike="noStrike" kern="1200" spc="0" baseline="0">
              <a:solidFill>
                <a:sysClr val="windowText" lastClr="000000"/>
              </a:solidFill>
              <a:latin typeface="仿宋" pitchFamily="3" charset="-122"/>
              <a:ea typeface="仿宋" pitchFamily="3" charset="-122"/>
              <a:cs typeface="仿宋" pitchFamily="3" charset="-122"/>
              <a:sym typeface="仿宋" pitchFamily="3" charset="-122"/>
            </a:defRPr>
          </a:pPr>
        </a:p>
      </c:txPr>
    </c:title>
    <c:autoTitleDeleted val="0"/>
    <c:plotArea>
      <c:layout/>
      <c:pieChart>
        <c:varyColors val="1"/>
        <c:ser>
          <c:idx val="0"/>
          <c:order val="0"/>
          <c:tx>
            <c:strRef>
              <c:f>[柱状图标.xlsx]五指山!$I$55</c:f>
              <c:strCache>
                <c:ptCount val="1"/>
                <c:pt idx="0">
                  <c:v>2011年</c:v>
                </c:pt>
              </c:strCache>
            </c:strRef>
          </c:tx>
          <c:spPr>
            <a:effectLst/>
          </c:spPr>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284270372710044"/>
                  <c:y val="-0.218404193360513"/>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manualLayout>
                      <c:w val="0.27037271004422"/>
                      <c:h val="0.143273150844496"/>
                    </c:manualLayout>
                  </c15:layout>
                </c:ext>
              </c:extLst>
            </c:dLbl>
            <c:dLbl>
              <c:idx val="1"/>
              <c:layout>
                <c:manualLayout>
                  <c:x val="-0.152742603362719"/>
                  <c:y val="0.0497786049419083"/>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90166288816106"/>
                  <c:y val="-0.0156866962775308"/>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39498220686513"/>
                  <c:y val="0.0236507501624729"/>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1" vertOverflow="ellipsis" horzOverflow="overflow" vert="horz" wrap="square" lIns="38100" tIns="19050" rIns="38100" bIns="19050" anchor="ctr" anchorCtr="1">
                <a:spAutoFit/>
              </a:bodyPr>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noFill/>
                    <a:ln w="9525" cap="flat" cmpd="sng" algn="ctr">
                      <a:solidFill>
                        <a:schemeClr val="tx1">
                          <a:lumMod val="35000"/>
                          <a:lumOff val="65000"/>
                        </a:schemeClr>
                      </a:solidFill>
                      <a:prstDash val="solid"/>
                      <a:round/>
                    </a:ln>
                    <a:effectLst/>
                  </c:spPr>
                </c15:leaderLines>
              </c:ext>
            </c:extLst>
          </c:dLbls>
          <c:cat>
            <c:strRef>
              <c:f>[柱状图标.xlsx]五指山!$J$52:$M$52</c:f>
              <c:strCache>
                <c:ptCount val="4"/>
                <c:pt idx="0">
                  <c:v>住宅</c:v>
                </c:pt>
                <c:pt idx="1">
                  <c:v>办公楼</c:v>
                </c:pt>
                <c:pt idx="2">
                  <c:v>商业营业用房</c:v>
                </c:pt>
                <c:pt idx="3">
                  <c:v>其他用房</c:v>
                </c:pt>
              </c:strCache>
            </c:strRef>
          </c:cat>
          <c:val>
            <c:numRef>
              <c:f>[柱状图标.xlsx]五指山!$J$55:$M$55</c:f>
              <c:numCache>
                <c:formatCode>0.00%</c:formatCode>
                <c:ptCount val="4"/>
                <c:pt idx="0">
                  <c:v>0.964</c:v>
                </c:pt>
                <c:pt idx="1">
                  <c:v>0</c:v>
                </c:pt>
                <c:pt idx="2">
                  <c:v>0.0321442571540572</c:v>
                </c:pt>
                <c:pt idx="3">
                  <c:v>0.00392003136025088</c:v>
                </c:pt>
              </c:numCache>
            </c:numRef>
          </c:val>
        </c:ser>
        <c:dLbls>
          <c:dLblPos val="bestFit"/>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1"/>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2"/>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3"/>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ayout/>
      <c:overlay val="0"/>
      <c:spPr>
        <a:noFill/>
        <a:ln>
          <a:noFill/>
        </a:ln>
        <a:effectLst/>
      </c:spPr>
      <c:txPr>
        <a:bodyPr rot="0" spcFirstLastPara="1"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rot="0" spcFirstLastPara="0" vertOverflow="ellipsis" horzOverflow="overflow" vert="horz" wrap="square" anchor="ctr" anchorCtr="1"/>
    <a:lstStyle/>
    <a:p>
      <a:pPr>
        <a:defRPr lang="zh-CN">
          <a:solidFill>
            <a:sysClr val="windowText" lastClr="000000"/>
          </a:solidFill>
          <a:latin typeface="仿宋" pitchFamily="3" charset="-122"/>
          <a:ea typeface="仿宋" pitchFamily="3" charset="-122"/>
          <a:cs typeface="仿宋" pitchFamily="3" charset="-122"/>
          <a:sym typeface="仿宋" pitchFamily="3"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horzOverflow="overflow" vert="horz" wrap="square" anchor="ctr" anchorCtr="1"/>
        <a:lstStyle/>
        <a:p>
          <a:pPr>
            <a:defRPr lang="zh-CN" sz="900" b="0" i="0" u="none" strike="noStrike" kern="1200" spc="0" baseline="0">
              <a:solidFill>
                <a:sysClr val="windowText" lastClr="000000"/>
              </a:solidFill>
              <a:latin typeface="仿宋" pitchFamily="3" charset="-122"/>
              <a:ea typeface="仿宋" pitchFamily="3" charset="-122"/>
              <a:cs typeface="仿宋" pitchFamily="3" charset="-122"/>
              <a:sym typeface="仿宋" pitchFamily="3" charset="-122"/>
            </a:defRPr>
          </a:pPr>
        </a:p>
      </c:txPr>
    </c:title>
    <c:autoTitleDeleted val="0"/>
    <c:plotArea>
      <c:layout/>
      <c:pieChart>
        <c:varyColors val="1"/>
        <c:ser>
          <c:idx val="0"/>
          <c:order val="0"/>
          <c:tx>
            <c:strRef>
              <c:f>[柱状图标.xlsx]五指山!$I$56</c:f>
              <c:strCache>
                <c:ptCount val="1"/>
                <c:pt idx="0">
                  <c:v>2012年</c:v>
                </c:pt>
              </c:strCache>
            </c:strRef>
          </c:tx>
          <c:spPr>
            <a:effectLst/>
          </c:spPr>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132033951587551"/>
                  <c:y val="-0.184210526315789"/>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manualLayout>
                      <c:w val="0.2646966362779"/>
                      <c:h val="0.143859649122807"/>
                    </c:manualLayout>
                  </c15:layout>
                </c:ext>
              </c:extLst>
            </c:dLbl>
            <c:dLbl>
              <c:idx val="1"/>
              <c:layout>
                <c:manualLayout>
                  <c:x val="-0.0491066806857544"/>
                  <c:y val="0.0532761145892578"/>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72062027639581"/>
                  <c:y val="-0.0336556088694049"/>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69243148923624"/>
                  <c:y val="-0.0067661665524805"/>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manualLayout>
                      <c:w val="0.280100597296448"/>
                      <c:h val="0.0970760233918129"/>
                    </c:manualLayout>
                  </c15:layout>
                </c:ext>
              </c:extLst>
            </c:dLbl>
            <c:numFmt formatCode="General" sourceLinked="1"/>
            <c:spPr>
              <a:noFill/>
              <a:ln>
                <a:noFill/>
              </a:ln>
              <a:effectLst/>
            </c:spPr>
            <c:txPr>
              <a:bodyPr rot="0" spcFirstLastPara="1" vertOverflow="ellipsis" horzOverflow="overflow" vert="horz" wrap="square" lIns="38100" tIns="19050" rIns="38100" bIns="19050" anchor="ctr" anchorCtr="1">
                <a:spAutoFit/>
              </a:bodyPr>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noFill/>
                    <a:ln w="9525" cap="flat" cmpd="sng" algn="ctr">
                      <a:solidFill>
                        <a:schemeClr val="tx1">
                          <a:lumMod val="35000"/>
                          <a:lumOff val="65000"/>
                        </a:schemeClr>
                      </a:solidFill>
                      <a:prstDash val="solid"/>
                      <a:round/>
                    </a:ln>
                    <a:effectLst/>
                  </c:spPr>
                </c15:leaderLines>
              </c:ext>
            </c:extLst>
          </c:dLbls>
          <c:cat>
            <c:strRef>
              <c:f>[柱状图标.xlsx]五指山!$J$52:$M$52</c:f>
              <c:strCache>
                <c:ptCount val="4"/>
                <c:pt idx="0">
                  <c:v>住宅</c:v>
                </c:pt>
                <c:pt idx="1">
                  <c:v>办公楼</c:v>
                </c:pt>
                <c:pt idx="2">
                  <c:v>商业营业用房</c:v>
                </c:pt>
                <c:pt idx="3">
                  <c:v>其他用房</c:v>
                </c:pt>
              </c:strCache>
            </c:strRef>
          </c:cat>
          <c:val>
            <c:numRef>
              <c:f>[柱状图标.xlsx]五指山!$J$56:$M$56</c:f>
              <c:numCache>
                <c:formatCode>0.00%</c:formatCode>
                <c:ptCount val="4"/>
                <c:pt idx="0">
                  <c:v>0.85640457733481</c:v>
                </c:pt>
                <c:pt idx="1">
                  <c:v>0.0044296788482835</c:v>
                </c:pt>
                <c:pt idx="2">
                  <c:v>0.038390550018457</c:v>
                </c:pt>
                <c:pt idx="3">
                  <c:v>0.10077519379845</c:v>
                </c:pt>
              </c:numCache>
            </c:numRef>
          </c:val>
        </c:ser>
        <c:dLbls>
          <c:dLblPos val="bestFit"/>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1"/>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2"/>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3"/>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ayout/>
      <c:overlay val="0"/>
      <c:spPr>
        <a:noFill/>
        <a:ln>
          <a:noFill/>
        </a:ln>
        <a:effectLst/>
      </c:spPr>
      <c:txPr>
        <a:bodyPr rot="0" spcFirstLastPara="1"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rot="0" spcFirstLastPara="0" vertOverflow="ellipsis" horzOverflow="overflow" vert="horz" wrap="square" anchor="ctr" anchorCtr="1"/>
    <a:lstStyle/>
    <a:p>
      <a:pPr>
        <a:defRPr lang="zh-CN">
          <a:solidFill>
            <a:sysClr val="windowText" lastClr="000000"/>
          </a:solidFill>
          <a:latin typeface="仿宋" pitchFamily="3" charset="-122"/>
          <a:ea typeface="仿宋" pitchFamily="3" charset="-122"/>
          <a:cs typeface="仿宋" pitchFamily="3" charset="-122"/>
          <a:sym typeface="仿宋" pitchFamily="3" charset="-122"/>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horzOverflow="overflow" vert="horz" wrap="square" anchor="ctr" anchorCtr="1"/>
        <a:lstStyle/>
        <a:p>
          <a:pPr>
            <a:defRPr lang="zh-CN" sz="900" b="0" i="0" u="none" strike="noStrike" kern="1200" spc="0" baseline="0">
              <a:solidFill>
                <a:sysClr val="windowText" lastClr="000000"/>
              </a:solidFill>
              <a:latin typeface="仿宋" pitchFamily="3" charset="-122"/>
              <a:ea typeface="仿宋" pitchFamily="3" charset="-122"/>
              <a:cs typeface="仿宋" pitchFamily="3" charset="-122"/>
              <a:sym typeface="仿宋" pitchFamily="3" charset="-122"/>
            </a:defRPr>
          </a:pPr>
        </a:p>
      </c:txPr>
    </c:title>
    <c:autoTitleDeleted val="0"/>
    <c:plotArea>
      <c:layout/>
      <c:pieChart>
        <c:varyColors val="1"/>
        <c:ser>
          <c:idx val="0"/>
          <c:order val="0"/>
          <c:tx>
            <c:strRef>
              <c:f>[柱状图标.xlsx]五指山!$I$57</c:f>
              <c:strCache>
                <c:ptCount val="1"/>
                <c:pt idx="0">
                  <c:v>2013年</c:v>
                </c:pt>
              </c:strCache>
            </c:strRef>
          </c:tx>
          <c:spPr>
            <a:effectLst/>
          </c:spPr>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61340044039006"/>
                  <c:y val="-0.196563774024461"/>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manualLayout>
                      <c:w val="0.281535073922617"/>
                      <c:h val="0.143273150844496"/>
                    </c:manualLayout>
                  </c15:layout>
                </c:ext>
              </c:extLst>
            </c:dLbl>
            <c:dLbl>
              <c:idx val="1"/>
              <c:layout>
                <c:manualLayout>
                  <c:x val="-0.0995802168155618"/>
                  <c:y val="0.0453307822254717"/>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15387851015189"/>
                  <c:y val="0.0280184574906438"/>
                </c:manualLayout>
              </c:layout>
              <c:numFmt formatCode="General" sourceLinked="1"/>
              <c:dLblPos val="bestFit"/>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1" vertOverflow="ellipsis" horzOverflow="overflow" vert="horz" wrap="square" lIns="38100" tIns="19050" rIns="38100" bIns="19050" anchor="ctr" anchorCtr="1">
                <a:spAutoFit/>
              </a:bodyPr>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noFill/>
                    <a:ln w="9525" cap="flat" cmpd="sng" algn="ctr">
                      <a:solidFill>
                        <a:schemeClr val="tx1">
                          <a:lumMod val="35000"/>
                          <a:lumOff val="65000"/>
                        </a:schemeClr>
                      </a:solidFill>
                      <a:prstDash val="solid"/>
                      <a:round/>
                    </a:ln>
                    <a:effectLst/>
                  </c:spPr>
                </c15:leaderLines>
              </c:ext>
            </c:extLst>
          </c:dLbls>
          <c:cat>
            <c:strRef>
              <c:f>[柱状图标.xlsx]五指山!$J$52:$M$52</c:f>
              <c:strCache>
                <c:ptCount val="4"/>
                <c:pt idx="0">
                  <c:v>住宅</c:v>
                </c:pt>
                <c:pt idx="1">
                  <c:v>办公楼</c:v>
                </c:pt>
                <c:pt idx="2">
                  <c:v>商业营业用房</c:v>
                </c:pt>
                <c:pt idx="3">
                  <c:v>其他用房</c:v>
                </c:pt>
              </c:strCache>
            </c:strRef>
          </c:cat>
          <c:val>
            <c:numRef>
              <c:f>[柱状图标.xlsx]五指山!$J$57:$M$57</c:f>
              <c:numCache>
                <c:formatCode>0.00%</c:formatCode>
                <c:ptCount val="4"/>
                <c:pt idx="0">
                  <c:v>0.949074074074074</c:v>
                </c:pt>
                <c:pt idx="1">
                  <c:v>0</c:v>
                </c:pt>
                <c:pt idx="2">
                  <c:v>0.0446428571428572</c:v>
                </c:pt>
                <c:pt idx="3">
                  <c:v>0.00628306878306878</c:v>
                </c:pt>
              </c:numCache>
            </c:numRef>
          </c:val>
        </c:ser>
        <c:dLbls>
          <c:dLblPos val="bestFit"/>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1"/>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2"/>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egendEntry>
        <c:idx val="3"/>
        <c:txPr>
          <a:bodyPr rot="0" spcFirstLastPara="0"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Entry>
      <c:layout/>
      <c:overlay val="0"/>
      <c:spPr>
        <a:noFill/>
        <a:ln>
          <a:noFill/>
        </a:ln>
        <a:effectLst/>
      </c:spPr>
      <c:txPr>
        <a:bodyPr rot="0" spcFirstLastPara="1" vertOverflow="ellipsis" horzOverflow="overflow" vert="horz" wrap="square" anchor="ctr" anchorCtr="1"/>
        <a:lstStyle/>
        <a:p>
          <a:pPr>
            <a:defRPr lang="zh-CN" sz="900" b="0" i="0" u="none" strike="noStrike" kern="1200" baseline="0">
              <a:solidFill>
                <a:sysClr val="windowText" lastClr="000000"/>
              </a:solidFill>
              <a:latin typeface="仿宋" pitchFamily="3" charset="-122"/>
              <a:ea typeface="仿宋" pitchFamily="3" charset="-122"/>
              <a:cs typeface="仿宋" pitchFamily="3" charset="-122"/>
              <a:sym typeface="仿宋" pitchFamily="3"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rot="0" spcFirstLastPara="0" vertOverflow="ellipsis" horzOverflow="overflow" vert="horz" wrap="square" anchor="ctr" anchorCtr="1"/>
    <a:lstStyle/>
    <a:p>
      <a:pPr>
        <a:defRPr lang="zh-CN">
          <a:solidFill>
            <a:sysClr val="windowText" lastClr="000000"/>
          </a:solidFill>
          <a:latin typeface="仿宋" pitchFamily="3" charset="-122"/>
          <a:ea typeface="仿宋" pitchFamily="3" charset="-122"/>
          <a:cs typeface="仿宋" pitchFamily="3" charset="-122"/>
          <a:sym typeface="仿宋" pitchFamily="3"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B6ADFD-8E5C-4DCD-9012-D4BA85EE327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2174</Words>
  <Characters>12392</Characters>
  <Lines>103</Lines>
  <Paragraphs>29</Paragraphs>
  <ScaleCrop>false</ScaleCrop>
  <LinksUpToDate>false</LinksUpToDate>
  <CharactersWithSpaces>14537</CharactersWithSpaces>
  <Application>WPS Office_10.8.0.5603_F1E327BC-269C-435d-A152-05C5408002CA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2018-11-23T06:33:00Z</dcterms:created>
  <dc:creator>user</dc:creator>
  <cp:lastModifiedBy>林凯</cp:lastModifiedBy>
  <cp:lastPrinted>2019-01-28T15:21:00Z</cp:lastPrinted>
  <dcterms:modified xsi:type="dcterms:W3CDTF">2019-01-31T13:27:48Z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2052-10.8.0.5603</vt:lpwstr>
  </property>
</Properties>
</file>